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22F7AD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451898">
        <w:rPr>
          <w:rFonts w:ascii="GHEA Grapalat" w:hAnsi="GHEA Grapalat"/>
          <w:b/>
          <w:bCs/>
          <w:lang w:val="hy-AM"/>
        </w:rPr>
        <w:t>օգոստոսի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51898">
        <w:rPr>
          <w:rFonts w:ascii="GHEA Grapalat" w:hAnsi="GHEA Grapalat"/>
          <w:b/>
          <w:bCs/>
          <w:lang w:val="hy-AM"/>
        </w:rPr>
        <w:t>11</w:t>
      </w:r>
      <w:r w:rsidR="00CA12FC">
        <w:rPr>
          <w:rFonts w:ascii="GHEA Grapalat" w:hAnsi="GHEA Grapalat"/>
          <w:b/>
          <w:bCs/>
          <w:lang w:val="hy-AM"/>
        </w:rPr>
        <w:t>։</w:t>
      </w:r>
      <w:r w:rsidR="00451898">
        <w:rPr>
          <w:rFonts w:ascii="GHEA Grapalat" w:hAnsi="GHEA Grapalat"/>
          <w:b/>
          <w:bCs/>
          <w:lang w:val="hy-AM"/>
        </w:rPr>
        <w:t>1</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 xml:space="preserve">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7C849341"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BA513B">
              <w:rPr>
                <w:rFonts w:ascii="GHEA Grapalat" w:eastAsia="Times New Roman" w:hAnsi="GHEA Grapalat" w:cs="Calibri"/>
                <w:kern w:val="0"/>
                <w:sz w:val="14"/>
                <w:szCs w:val="14"/>
                <w:lang w:val="hy-AM"/>
                <w14:ligatures w14:val="none"/>
              </w:rPr>
              <w:t>25</w:t>
            </w:r>
            <w:r w:rsidR="00C548E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59C4F105" w:rsidR="002E0A1E" w:rsidRPr="00AB701C" w:rsidRDefault="002448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52 700</w:t>
            </w:r>
          </w:p>
        </w:tc>
        <w:tc>
          <w:tcPr>
            <w:tcW w:w="1465" w:type="dxa"/>
            <w:tcBorders>
              <w:top w:val="single" w:sz="4" w:space="0" w:color="auto"/>
              <w:left w:val="nil"/>
              <w:bottom w:val="single" w:sz="4" w:space="0" w:color="auto"/>
              <w:right w:val="single" w:sz="4" w:space="0" w:color="auto"/>
            </w:tcBorders>
            <w:vAlign w:val="center"/>
            <w:hideMark/>
          </w:tcPr>
          <w:p w14:paraId="5BBE17E4" w14:textId="030598C9" w:rsidR="002E0A1E" w:rsidRPr="00AB701C" w:rsidRDefault="004518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44 795</w:t>
            </w:r>
          </w:p>
        </w:tc>
        <w:tc>
          <w:tcPr>
            <w:tcW w:w="1289" w:type="dxa"/>
            <w:tcBorders>
              <w:top w:val="single" w:sz="4" w:space="0" w:color="auto"/>
              <w:left w:val="nil"/>
              <w:bottom w:val="single" w:sz="4" w:space="0" w:color="auto"/>
              <w:right w:val="single" w:sz="4" w:space="0" w:color="auto"/>
            </w:tcBorders>
            <w:vAlign w:val="center"/>
            <w:hideMark/>
          </w:tcPr>
          <w:p w14:paraId="26A76C2F" w14:textId="126999AF" w:rsidR="002E0A1E" w:rsidRPr="00AB701C" w:rsidRDefault="004518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22 398</w:t>
            </w:r>
          </w:p>
        </w:tc>
        <w:tc>
          <w:tcPr>
            <w:tcW w:w="1268" w:type="dxa"/>
            <w:tcBorders>
              <w:top w:val="single" w:sz="4" w:space="0" w:color="auto"/>
              <w:left w:val="nil"/>
              <w:bottom w:val="single" w:sz="4" w:space="0" w:color="auto"/>
              <w:right w:val="single" w:sz="4" w:space="0" w:color="auto"/>
            </w:tcBorders>
            <w:vAlign w:val="center"/>
            <w:hideMark/>
          </w:tcPr>
          <w:p w14:paraId="7FEDFF31" w14:textId="7C1EF8B5" w:rsidR="002E0A1E" w:rsidRPr="00AB701C" w:rsidRDefault="00C548E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69FA3E26" w:rsidR="002E0A1E" w:rsidRPr="00AB701C" w:rsidRDefault="0024482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66FC867B"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BA513B">
        <w:rPr>
          <w:rFonts w:ascii="GHEA Grapalat" w:eastAsia="Times New Roman" w:hAnsi="GHEA Grapalat" w:cs="Sylfaen"/>
          <w:b/>
          <w:bCs/>
          <w:kern w:val="16"/>
          <w:lang w:val="hy-AM"/>
          <w14:ligatures w14:val="none"/>
        </w:rPr>
        <w:t>25</w:t>
      </w:r>
      <w:r w:rsidRPr="004D000F">
        <w:rPr>
          <w:rFonts w:ascii="GHEA Grapalat" w:eastAsia="Times New Roman" w:hAnsi="GHEA Grapalat" w:cs="Sylfaen"/>
          <w:b/>
          <w:bCs/>
          <w:kern w:val="16"/>
          <w:lang w:val="hy-AM"/>
          <w14:ligatures w14:val="none"/>
        </w:rPr>
        <w:t xml:space="preserve"> անվանում շարժական գույքի</w:t>
      </w:r>
    </w:p>
    <w:p w14:paraId="61DC87C5" w14:textId="77777777" w:rsidR="00BA513B" w:rsidRDefault="00BA513B" w:rsidP="004D000F">
      <w:pPr>
        <w:spacing w:after="0" w:line="240" w:lineRule="auto"/>
        <w:ind w:firstLine="11"/>
        <w:jc w:val="center"/>
        <w:rPr>
          <w:rFonts w:ascii="GHEA Grapalat" w:eastAsia="Times New Roman" w:hAnsi="GHEA Grapalat" w:cs="Sylfaen"/>
          <w:b/>
          <w:bCs/>
          <w:kern w:val="16"/>
          <w:lang w:val="hy-AM"/>
          <w14:ligatures w14:val="none"/>
        </w:rPr>
      </w:pPr>
    </w:p>
    <w:tbl>
      <w:tblPr>
        <w:tblW w:w="7674" w:type="dxa"/>
        <w:tblInd w:w="-225" w:type="dxa"/>
        <w:tblCellMar>
          <w:left w:w="0" w:type="dxa"/>
          <w:right w:w="0" w:type="dxa"/>
        </w:tblCellMar>
        <w:tblLook w:val="04A0" w:firstRow="1" w:lastRow="0" w:firstColumn="1" w:lastColumn="0" w:noHBand="0" w:noVBand="1"/>
      </w:tblPr>
      <w:tblGrid>
        <w:gridCol w:w="451"/>
        <w:gridCol w:w="1909"/>
        <w:gridCol w:w="1129"/>
        <w:gridCol w:w="671"/>
        <w:gridCol w:w="1676"/>
        <w:gridCol w:w="1838"/>
      </w:tblGrid>
      <w:tr w:rsidR="00AC5E63" w:rsidRPr="00BA513B" w14:paraId="2D16DC91" w14:textId="77777777" w:rsidTr="00AC5E63">
        <w:trPr>
          <w:trHeight w:val="1080"/>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1C5038"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3E1684" w14:textId="77777777" w:rsidR="00AC5E63" w:rsidRPr="00BA513B" w:rsidRDefault="00AC5E63" w:rsidP="00BA513B">
            <w:pPr>
              <w:spacing w:after="0" w:line="240" w:lineRule="auto"/>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Անվանում</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F272D6"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Չափման միավոր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C2C28"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Քանակ</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1ED95B"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Արտադրության ժամկետ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54E39"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Պիտանելիության ժամկետ</w:t>
            </w:r>
          </w:p>
        </w:tc>
      </w:tr>
      <w:tr w:rsidR="00AC5E63" w:rsidRPr="00BA513B" w14:paraId="428E6A94"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1863E4"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BD0B06"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Սիգարոն ծխախոտ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CE64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BD76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C6A5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01-2025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842F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25C723E0"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9B8FF9"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EF25FD"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Սիգարոն ծխախոտ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12F5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AEF8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D0CE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43F97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1D68580A"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B81EB1"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E4FBB"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Վինսթոն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C5943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4D45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A5323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585B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0F4CCE3F"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0629D6"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FD08B"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Վինսթոն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7045E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ECC35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40C52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09-2024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D9382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0AB798F5"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910DB2"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73218"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D980B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52CD3"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A4930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A1A1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5BFE3B03"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73B61C"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1E3879"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694DC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7DCC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85E9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61DA3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2CF22EB6"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2ACEA9"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70ACD"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6396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A6D04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A691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BEE8B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1EE239E4"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F6D68E"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lastRenderedPageBreak/>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1E8A4"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6BA5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1549A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3FE6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33BCE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0CFA79F2"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D3A91B"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0B6360"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F0294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E8C3C1"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DF7A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219913"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1232B704"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24FF20"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5C29AC"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Մալբորո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7640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4FC1C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F60B6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09.2024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13D2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1B23CBFB"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A3C562"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D80B88"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Մալբորո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3F2C7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EAF7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27693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06.2024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D0E8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51917266"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551BB9"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5633F"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Վինսթոն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D35F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A892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FB2281"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07.2024</w:t>
            </w:r>
            <w:r w:rsidRPr="00BA513B">
              <w:rPr>
                <w:rFonts w:ascii="GHEA Grapalat" w:eastAsia="Times New Roman" w:hAnsi="GHEA Grapalat" w:cs="Arial"/>
                <w:color w:val="212529"/>
                <w:kern w:val="0"/>
                <w:sz w:val="16"/>
                <w:szCs w:val="16"/>
                <w:lang w:val="ru-RU" w:eastAsia="ru-RU"/>
                <w14:ligatures w14:val="none"/>
              </w:rPr>
              <w:br/>
              <w:t>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67AE2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r w:rsidRPr="00BA513B">
              <w:rPr>
                <w:rFonts w:ascii="GHEA Grapalat" w:eastAsia="Times New Roman" w:hAnsi="GHEA Grapalat" w:cs="Arial"/>
                <w:color w:val="212529"/>
                <w:kern w:val="0"/>
                <w:sz w:val="16"/>
                <w:szCs w:val="16"/>
                <w:lang w:val="ru-RU" w:eastAsia="ru-RU"/>
                <w14:ligatures w14:val="none"/>
              </w:rPr>
              <w:br/>
              <w:t>-</w:t>
            </w:r>
          </w:p>
        </w:tc>
      </w:tr>
      <w:tr w:rsidR="00AC5E63" w:rsidRPr="00BA513B" w14:paraId="2E0726BD"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DE9788"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682C80"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Գառնի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FFA2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0CEF0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84708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E524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384BADDB"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65FC4C"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8CCF11"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0A8B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73820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2829A"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92FC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44979CF7"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5970FE"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09038"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B9AD4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B48B6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95E6A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E4CD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48C4E866"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6D920A"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8491A"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9182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A6D9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4EE8F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BD8B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646D916B"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1472B0"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80976A"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Պառլամենտ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D904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79350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1298A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07-2024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77DD31"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29D04D14"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709002"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518A46"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Մալբորո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32685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4F39C3"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5F1A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C3D50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43707D8D"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29C272"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56282"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Մալբորո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70FFE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1DF9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B49CA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EB719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37902DEF"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8D54B3"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F745FF"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Օմե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521DA"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8F91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A0EE2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CD97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5A8FE9F5"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3EF308"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FE3F24"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Պառլամենտ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C91B9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4EEB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D4B55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30.05.2025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D9BD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60E961C7"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0F42F4"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887A83"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D0AE5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C659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762571"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30.09.2025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7558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4D8580C6"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58F68B"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F717E1"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Պառլամենտ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5BBD1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4526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BA9F9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30.06.2025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88F75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6CD61613"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AA004D"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A51AE"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Էլեկտրոնային սիգարետ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C538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7DD9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BDD3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2222F" w14:textId="77777777" w:rsidR="00AC5E63" w:rsidRPr="00BA513B" w:rsidRDefault="00AC5E63" w:rsidP="00BA513B">
            <w:pPr>
              <w:spacing w:after="0" w:line="240" w:lineRule="auto"/>
              <w:rPr>
                <w:rFonts w:ascii="GHEA Grapalat" w:eastAsia="Times New Roman" w:hAnsi="GHEA Grapalat" w:cs="Times New Roman"/>
                <w:kern w:val="0"/>
                <w:sz w:val="16"/>
                <w:szCs w:val="16"/>
                <w:lang w:val="ru-RU" w:eastAsia="ru-RU"/>
                <w14:ligatures w14:val="none"/>
              </w:rPr>
            </w:pPr>
          </w:p>
        </w:tc>
      </w:tr>
      <w:tr w:rsidR="00AC5E63" w:rsidRPr="00BA513B" w14:paraId="5166EEB1"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19CF29"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2D4644"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Էլեկտրոնային սիգարետի գլանակ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ED679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D255B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583E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35093" w14:textId="77777777" w:rsidR="00AC5E63" w:rsidRPr="00BA513B" w:rsidRDefault="00AC5E63" w:rsidP="00BA513B">
            <w:pPr>
              <w:spacing w:after="0" w:line="240" w:lineRule="auto"/>
              <w:rPr>
                <w:rFonts w:ascii="GHEA Grapalat" w:eastAsia="Times New Roman" w:hAnsi="GHEA Grapalat" w:cs="Times New Roman"/>
                <w:kern w:val="0"/>
                <w:sz w:val="16"/>
                <w:szCs w:val="16"/>
                <w:lang w:val="ru-RU" w:eastAsia="ru-RU"/>
                <w14:ligatures w14:val="none"/>
              </w:rPr>
            </w:pPr>
          </w:p>
        </w:tc>
      </w:tr>
    </w:tbl>
    <w:p w14:paraId="23D9047F" w14:textId="77777777" w:rsidR="00BA513B" w:rsidRPr="004D000F" w:rsidRDefault="00BA513B" w:rsidP="004D000F">
      <w:pPr>
        <w:spacing w:after="0" w:line="240" w:lineRule="auto"/>
        <w:ind w:firstLine="11"/>
        <w:jc w:val="center"/>
        <w:rPr>
          <w:rFonts w:ascii="GHEA Grapalat" w:eastAsia="Times New Roman" w:hAnsi="GHEA Grapalat" w:cs="Sylfaen"/>
          <w:b/>
          <w:bCs/>
          <w:kern w:val="16"/>
          <w:lang w:val="hy-AM"/>
          <w14:ligatures w14:val="none"/>
        </w:rPr>
      </w:pPr>
    </w:p>
    <w:p w14:paraId="72A64280"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A1C50"/>
    <w:rsid w:val="003B6DE5"/>
    <w:rsid w:val="003C06BA"/>
    <w:rsid w:val="003D0F15"/>
    <w:rsid w:val="003E33EA"/>
    <w:rsid w:val="0042666F"/>
    <w:rsid w:val="00431150"/>
    <w:rsid w:val="004338FD"/>
    <w:rsid w:val="00441211"/>
    <w:rsid w:val="00446DD8"/>
    <w:rsid w:val="00447DCC"/>
    <w:rsid w:val="00451898"/>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A74D5"/>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C5E63"/>
    <w:rsid w:val="00AD58C2"/>
    <w:rsid w:val="00AE280F"/>
    <w:rsid w:val="00B077EE"/>
    <w:rsid w:val="00B21C93"/>
    <w:rsid w:val="00B376D5"/>
    <w:rsid w:val="00B448AF"/>
    <w:rsid w:val="00B51898"/>
    <w:rsid w:val="00B70030"/>
    <w:rsid w:val="00B7333F"/>
    <w:rsid w:val="00B846C0"/>
    <w:rsid w:val="00B84CEB"/>
    <w:rsid w:val="00B87094"/>
    <w:rsid w:val="00BA513B"/>
    <w:rsid w:val="00C02E1E"/>
    <w:rsid w:val="00C35635"/>
    <w:rsid w:val="00C548EB"/>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5</Pages>
  <Words>1688</Words>
  <Characters>9627</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https://mul2-spm.gov.am/tasks/562034/oneclick?token=b564414a239917f3bf34c5b53c9a81e9</cp:keywords>
  <dc:description/>
  <cp:lastModifiedBy>User</cp:lastModifiedBy>
  <cp:revision>149</cp:revision>
  <dcterms:created xsi:type="dcterms:W3CDTF">2024-12-30T05:51:00Z</dcterms:created>
  <dcterms:modified xsi:type="dcterms:W3CDTF">2026-07-16T10:47:00Z</dcterms:modified>
</cp:coreProperties>
</file>