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6AEC38B"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766C5C">
        <w:rPr>
          <w:rFonts w:ascii="GHEA Grapalat" w:hAnsi="GHEA Grapalat"/>
          <w:b/>
          <w:bCs/>
          <w:color w:val="000000" w:themeColor="text1"/>
          <w:lang w:val="hy-AM"/>
        </w:rPr>
        <w:t>28</w:t>
      </w:r>
      <w:r w:rsidRPr="00311324">
        <w:rPr>
          <w:rFonts w:ascii="GHEA Grapalat" w:hAnsi="GHEA Grapalat"/>
          <w:b/>
          <w:bCs/>
          <w:color w:val="000000" w:themeColor="text1"/>
          <w:lang w:val="hy-AM"/>
        </w:rPr>
        <w:t xml:space="preserve">-ին, ժամը՝ </w:t>
      </w:r>
      <w:r w:rsidR="002660C4">
        <w:rPr>
          <w:rFonts w:ascii="GHEA Grapalat" w:hAnsi="GHEA Grapalat"/>
          <w:b/>
          <w:bCs/>
          <w:color w:val="000000" w:themeColor="text1"/>
          <w:lang w:val="hy-AM"/>
        </w:rPr>
        <w:t>09</w:t>
      </w:r>
      <w:r w:rsidRPr="00311324">
        <w:rPr>
          <w:rFonts w:ascii="GHEA Grapalat" w:hAnsi="GHEA Grapalat"/>
          <w:b/>
          <w:bCs/>
          <w:color w:val="000000" w:themeColor="text1"/>
          <w:lang w:val="hy-AM"/>
        </w:rPr>
        <w:t>:</w:t>
      </w:r>
      <w:r w:rsidR="00451CE0">
        <w:rPr>
          <w:rFonts w:ascii="GHEA Grapalat" w:hAnsi="GHEA Grapalat"/>
          <w:b/>
          <w:bCs/>
          <w:color w:val="000000" w:themeColor="text1"/>
          <w:lang w:val="hy-AM"/>
        </w:rPr>
        <w:t>4</w:t>
      </w:r>
      <w:r w:rsidR="002660C4">
        <w:rPr>
          <w:rFonts w:ascii="GHEA Grapalat" w:hAnsi="GHEA Grapalat"/>
          <w:b/>
          <w:bCs/>
          <w:color w:val="000000" w:themeColor="text1"/>
          <w:lang w:val="hy-AM"/>
        </w:rPr>
        <w:t>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48D6792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691535F" w:rsidR="00394FE6" w:rsidRPr="006453A4" w:rsidRDefault="00766C5C"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9814528</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54D010C0"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9F04DD">
              <w:rPr>
                <w:rFonts w:ascii="GHEA Grapalat" w:eastAsia="Times New Roman" w:hAnsi="GHEA Grapalat" w:cs="Calibri"/>
                <w:kern w:val="0"/>
                <w:sz w:val="16"/>
                <w:szCs w:val="16"/>
                <w:lang w:val="hy-AM"/>
                <w14:ligatures w14:val="none"/>
              </w:rPr>
              <w:t>ք</w:t>
            </w:r>
            <w:r w:rsidRPr="00C24074">
              <w:rPr>
                <w:rFonts w:ascii="GHEA Grapalat" w:eastAsia="Times New Roman" w:hAnsi="GHEA Grapalat" w:cs="Calibri"/>
                <w:kern w:val="0"/>
                <w:sz w:val="16"/>
                <w:szCs w:val="16"/>
                <w:lang w:val="hy-AM"/>
                <w14:ligatures w14:val="none"/>
              </w:rPr>
              <w:t>.</w:t>
            </w:r>
            <w:r w:rsidR="009F04DD">
              <w:rPr>
                <w:rFonts w:ascii="GHEA Grapalat" w:eastAsia="Times New Roman" w:hAnsi="GHEA Grapalat" w:cs="Calibri"/>
                <w:kern w:val="0"/>
                <w:sz w:val="16"/>
                <w:szCs w:val="16"/>
                <w:lang w:val="hy-AM"/>
                <w14:ligatures w14:val="none"/>
              </w:rPr>
              <w:t xml:space="preserve">Թալին            </w:t>
            </w:r>
            <w:r w:rsidR="002660C4">
              <w:rPr>
                <w:rFonts w:ascii="GHEA Grapalat" w:eastAsia="Times New Roman" w:hAnsi="GHEA Grapalat" w:cs="Calibri"/>
                <w:kern w:val="0"/>
                <w:sz w:val="16"/>
                <w:szCs w:val="16"/>
                <w:lang w:val="hy-AM"/>
                <w14:ligatures w14:val="none"/>
              </w:rPr>
              <w:t>Ռ</w:t>
            </w:r>
            <w:r w:rsidR="002660C4">
              <w:rPr>
                <w:rFonts w:ascii="Cambria Math" w:eastAsia="Times New Roman" w:hAnsi="Cambria Math" w:cs="Calibri"/>
                <w:kern w:val="0"/>
                <w:sz w:val="16"/>
                <w:szCs w:val="16"/>
                <w:lang w:val="hy-AM"/>
                <w14:ligatures w14:val="none"/>
              </w:rPr>
              <w:t>․ Միրոյան փողոց 6/2</w:t>
            </w:r>
            <w:r w:rsidR="00451CE0">
              <w:rPr>
                <w:rFonts w:ascii="Cambria Math" w:eastAsia="Times New Roman" w:hAnsi="Cambria Math" w:cs="Calibri"/>
                <w:kern w:val="0"/>
                <w:sz w:val="16"/>
                <w:szCs w:val="16"/>
                <w:lang w:val="hy-AM"/>
                <w14:ligatures w14:val="none"/>
              </w:rPr>
              <w:t>2</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451CE0">
              <w:rPr>
                <w:rFonts w:ascii="GHEA Grapalat" w:eastAsia="Times New Roman" w:hAnsi="GHEA Grapalat" w:cs="Calibri"/>
                <w:kern w:val="0"/>
                <w:sz w:val="16"/>
                <w:szCs w:val="16"/>
                <w:lang w:val="hy-AM"/>
                <w14:ligatures w14:val="none"/>
              </w:rPr>
              <w:t>09042026-02-0047</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5CB6F838"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w:t>
            </w:r>
            <w:r w:rsidR="002660C4">
              <w:rPr>
                <w:rFonts w:ascii="GHEA Grapalat" w:eastAsia="Times New Roman" w:hAnsi="GHEA Grapalat" w:cs="Calibri"/>
                <w:kern w:val="0"/>
                <w:sz w:val="16"/>
                <w:szCs w:val="16"/>
                <w:lang w:val="hy-AM"/>
                <w14:ligatures w14:val="none"/>
              </w:rPr>
              <w:t>00</w:t>
            </w:r>
            <w:r w:rsidR="00451CE0">
              <w:rPr>
                <w:rFonts w:ascii="GHEA Grapalat" w:eastAsia="Times New Roman" w:hAnsi="GHEA Grapalat" w:cs="Calibri"/>
                <w:kern w:val="0"/>
                <w:sz w:val="16"/>
                <w:szCs w:val="16"/>
                <w:lang w:val="hy-AM"/>
                <w14:ligatures w14:val="none"/>
              </w:rPr>
              <w:t>381</w:t>
            </w:r>
          </w:p>
        </w:tc>
        <w:tc>
          <w:tcPr>
            <w:tcW w:w="1236" w:type="dxa"/>
            <w:vAlign w:val="center"/>
          </w:tcPr>
          <w:p w14:paraId="6FB7DDCD" w14:textId="06B0E1D9" w:rsidR="00374041" w:rsidRPr="00374041" w:rsidRDefault="002660C4" w:rsidP="00374041">
            <w:pPr>
              <w:jc w:val="center"/>
              <w:rPr>
                <w:rFonts w:ascii="GHEA Grapalat" w:hAnsi="GHEA Grapalat" w:cs="Arial"/>
                <w:color w:val="000000"/>
                <w:sz w:val="16"/>
                <w:szCs w:val="16"/>
              </w:rPr>
            </w:pPr>
            <w:r>
              <w:rPr>
                <w:rFonts w:ascii="GHEA Grapalat" w:hAnsi="GHEA Grapalat" w:cs="Arial"/>
                <w:color w:val="000000"/>
                <w:sz w:val="16"/>
                <w:szCs w:val="16"/>
                <w:lang w:val="hy-AM"/>
              </w:rPr>
              <w:t>1</w:t>
            </w:r>
            <w:r w:rsidR="00451CE0">
              <w:rPr>
                <w:rFonts w:ascii="GHEA Grapalat" w:hAnsi="GHEA Grapalat" w:cs="Arial"/>
                <w:color w:val="000000"/>
                <w:sz w:val="16"/>
                <w:szCs w:val="16"/>
                <w:lang w:val="hy-AM"/>
              </w:rPr>
              <w:t>4</w:t>
            </w:r>
            <w:r>
              <w:rPr>
                <w:rFonts w:ascii="GHEA Grapalat" w:hAnsi="GHEA Grapalat" w:cs="Arial"/>
                <w:color w:val="000000"/>
                <w:sz w:val="16"/>
                <w:szCs w:val="16"/>
                <w:lang w:val="hy-AM"/>
              </w:rPr>
              <w:t>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35C4EE95" w:rsidR="00394FE6" w:rsidRPr="002660C4" w:rsidRDefault="00451CE0"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lang w:val="hy-AM"/>
              </w:rPr>
              <w:t>46 520</w:t>
            </w:r>
          </w:p>
        </w:tc>
        <w:tc>
          <w:tcPr>
            <w:tcW w:w="1280" w:type="dxa"/>
            <w:vAlign w:val="center"/>
            <w:hideMark/>
          </w:tcPr>
          <w:p w14:paraId="3027C52B" w14:textId="77CCAD16" w:rsidR="00394FE6" w:rsidRPr="006D6EF2" w:rsidRDefault="00451CE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45</w:t>
            </w:r>
            <w:r w:rsidR="002660C4">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704593A3" w:rsidR="00394FE6" w:rsidRPr="006D6EF2" w:rsidRDefault="00451CE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180</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65771442" w:rsidR="00394FE6" w:rsidRPr="006D6EF2" w:rsidRDefault="000C3AE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B05C503"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A11"/>
    <w:rsid w:val="00044070"/>
    <w:rsid w:val="000A1591"/>
    <w:rsid w:val="000C3AE0"/>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51C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66C5C"/>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73322"/>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1279</Words>
  <Characters>7292</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13</cp:revision>
  <cp:lastPrinted>2026-06-02T11:57:00Z</cp:lastPrinted>
  <dcterms:created xsi:type="dcterms:W3CDTF">2026-05-08T12:47:00Z</dcterms:created>
  <dcterms:modified xsi:type="dcterms:W3CDTF">2026-06-05T13:34:00Z</dcterms:modified>
</cp:coreProperties>
</file>