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34DBE3DC"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proofErr w:type="spellStart"/>
      <w:r w:rsidR="00A44A45">
        <w:rPr>
          <w:rFonts w:ascii="GHEA Grapalat" w:hAnsi="GHEA Grapalat"/>
          <w:b/>
          <w:bCs/>
        </w:rPr>
        <w:t>սեպտեմբերի</w:t>
      </w:r>
      <w:proofErr w:type="spellEnd"/>
      <w:r w:rsidR="004759BE" w:rsidRPr="00E92CA4">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5</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314E28">
        <w:rPr>
          <w:rFonts w:ascii="GHEA Grapalat" w:hAnsi="GHEA Grapalat"/>
          <w:b/>
          <w:bCs/>
          <w:lang w:val="hy-AM"/>
        </w:rPr>
        <w:t>2</w:t>
      </w:r>
      <w:r w:rsidR="00981AE0">
        <w:rPr>
          <w:rFonts w:ascii="GHEA Grapalat" w:hAnsi="GHEA Grapalat"/>
          <w:b/>
          <w:bCs/>
          <w:lang w:val="hy-AM"/>
        </w:rPr>
        <w:t>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73"/>
        <w:gridCol w:w="1076"/>
        <w:gridCol w:w="1775"/>
        <w:gridCol w:w="1995"/>
        <w:gridCol w:w="1108"/>
        <w:gridCol w:w="1147"/>
        <w:gridCol w:w="1128"/>
        <w:gridCol w:w="1085"/>
        <w:gridCol w:w="1247"/>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proofErr w:type="spellStart"/>
            <w:r w:rsidRPr="006F040A">
              <w:rPr>
                <w:rFonts w:ascii="GHEA Grapalat" w:eastAsia="Times New Roman" w:hAnsi="GHEA Grapalat" w:cs="Calibri"/>
                <w:b/>
                <w:bCs/>
                <w:kern w:val="0"/>
                <w:sz w:val="14"/>
                <w:szCs w:val="14"/>
                <w14:ligatures w14:val="none"/>
              </w:rPr>
              <w:t>երթական</w:t>
            </w:r>
            <w:proofErr w:type="spellEnd"/>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համարը</w:t>
            </w:r>
            <w:proofErr w:type="spellEnd"/>
            <w:r w:rsidRPr="006F040A">
              <w:rPr>
                <w:rFonts w:ascii="GHEA Grapalat" w:eastAsia="Times New Roman" w:hAnsi="GHEA Grapalat" w:cs="Calibri"/>
                <w:b/>
                <w:bCs/>
                <w:kern w:val="0"/>
                <w:sz w:val="14"/>
                <w:szCs w:val="14"/>
                <w14:ligatures w14:val="none"/>
              </w:rPr>
              <w:t xml:space="preserve">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անվանումը</w:t>
            </w:r>
            <w:proofErr w:type="spellEnd"/>
            <w:r w:rsidRPr="006F040A">
              <w:rPr>
                <w:rFonts w:ascii="GHEA Grapalat" w:eastAsia="Times New Roman" w:hAnsi="GHEA Grapalat" w:cs="Calibri"/>
                <w:b/>
                <w:bCs/>
                <w:kern w:val="0"/>
                <w:sz w:val="14"/>
                <w:szCs w:val="14"/>
                <w14:ligatures w14:val="none"/>
              </w:rPr>
              <w:t xml:space="preserve"> / </w:t>
            </w:r>
            <w:proofErr w:type="spellStart"/>
            <w:r w:rsidRPr="006F040A">
              <w:rPr>
                <w:rFonts w:ascii="GHEA Grapalat" w:eastAsia="Times New Roman" w:hAnsi="GHEA Grapalat" w:cs="Calibri"/>
                <w:b/>
                <w:bCs/>
                <w:kern w:val="0"/>
                <w:sz w:val="14"/>
                <w:szCs w:val="14"/>
                <w14:ligatures w14:val="none"/>
              </w:rPr>
              <w:t>նույն</w:t>
            </w:r>
            <w:proofErr w:type="spellEnd"/>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Sylfaen"/>
                <w:b/>
                <w:bCs/>
                <w:kern w:val="0"/>
                <w:sz w:val="14"/>
                <w:szCs w:val="14"/>
                <w14:ligatures w14:val="none"/>
              </w:rPr>
              <w:t>համ</w:t>
            </w:r>
            <w:proofErr w:type="spellEnd"/>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գտնվելու</w:t>
            </w:r>
            <w:proofErr w:type="spellEnd"/>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վայրը</w:t>
            </w:r>
            <w:proofErr w:type="spellEnd"/>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վիճակը</w:t>
            </w:r>
            <w:proofErr w:type="spellEnd"/>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լրացուցիչ</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տեղեկություններ</w:t>
            </w:r>
            <w:proofErr w:type="spellEnd"/>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գնահատված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արժեքը</w:t>
            </w:r>
            <w:proofErr w:type="spellEnd"/>
            <w:r w:rsidRPr="006F040A">
              <w:rPr>
                <w:rFonts w:ascii="GHEA Grapalat" w:eastAsia="Times New Roman" w:hAnsi="GHEA Grapalat" w:cs="Calibri"/>
                <w:b/>
                <w:bCs/>
                <w:kern w:val="0"/>
                <w:sz w:val="14"/>
                <w:szCs w:val="14"/>
                <w14:ligatures w14:val="none"/>
              </w:rPr>
              <w:t xml:space="preserve">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Լոտի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մեկնարկային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գինը</w:t>
            </w:r>
            <w:proofErr w:type="spellEnd"/>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Նվազագույն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գնային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հավելման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չափը</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F040A">
              <w:rPr>
                <w:rFonts w:ascii="GHEA Grapalat" w:eastAsia="Times New Roman" w:hAnsi="GHEA Grapalat" w:cs="Calibri"/>
                <w:b/>
                <w:bCs/>
                <w:kern w:val="0"/>
                <w:sz w:val="14"/>
                <w:szCs w:val="14"/>
                <w14:ligatures w14:val="none"/>
              </w:rPr>
              <w:t>Գույքի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արժեքի</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որոշման</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համար</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նախատեսված</w:t>
            </w:r>
            <w:proofErr w:type="spellEnd"/>
            <w:r w:rsidRPr="006F040A">
              <w:rPr>
                <w:rFonts w:ascii="GHEA Grapalat" w:eastAsia="Times New Roman" w:hAnsi="GHEA Grapalat" w:cs="Calibri"/>
                <w:b/>
                <w:bCs/>
                <w:kern w:val="0"/>
                <w:sz w:val="14"/>
                <w:szCs w:val="14"/>
                <w14:ligatures w14:val="none"/>
              </w:rPr>
              <w:t xml:space="preserve"> </w:t>
            </w:r>
            <w:proofErr w:type="spellStart"/>
            <w:r w:rsidRPr="006F040A">
              <w:rPr>
                <w:rFonts w:ascii="GHEA Grapalat" w:eastAsia="Times New Roman" w:hAnsi="GHEA Grapalat" w:cs="Calibri"/>
                <w:b/>
                <w:bCs/>
                <w:kern w:val="0"/>
                <w:sz w:val="14"/>
                <w:szCs w:val="14"/>
                <w14:ligatures w14:val="none"/>
              </w:rPr>
              <w:t>գումարը</w:t>
            </w:r>
            <w:proofErr w:type="spellEnd"/>
            <w:r w:rsidRPr="006F040A">
              <w:rPr>
                <w:rFonts w:ascii="GHEA Grapalat" w:eastAsia="Times New Roman" w:hAnsi="GHEA Grapalat" w:cs="Calibri"/>
                <w:b/>
                <w:bCs/>
                <w:kern w:val="0"/>
                <w:sz w:val="14"/>
                <w:szCs w:val="14"/>
                <w14:ligatures w14:val="none"/>
              </w:rPr>
              <w:t xml:space="preserve">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(ՀՀ </w:t>
            </w:r>
            <w:proofErr w:type="spellStart"/>
            <w:r w:rsidRPr="006F040A">
              <w:rPr>
                <w:rFonts w:ascii="GHEA Grapalat" w:eastAsia="Times New Roman" w:hAnsi="GHEA Grapalat" w:cs="Calibri"/>
                <w:b/>
                <w:bCs/>
                <w:kern w:val="0"/>
                <w:sz w:val="14"/>
                <w:szCs w:val="14"/>
                <w14:ligatures w14:val="none"/>
              </w:rPr>
              <w:t>դրամ</w:t>
            </w:r>
            <w:proofErr w:type="spellEnd"/>
            <w:r w:rsidRPr="006F040A">
              <w:rPr>
                <w:rFonts w:ascii="GHEA Grapalat" w:eastAsia="Times New Roman" w:hAnsi="GHEA Grapalat" w:cs="Calibri"/>
                <w:b/>
                <w:bCs/>
                <w:kern w:val="0"/>
                <w:sz w:val="14"/>
                <w:szCs w:val="14"/>
                <w14:ligatures w14:val="none"/>
              </w:rPr>
              <w:t>)</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7A2B685D" w:rsidR="00152DCF" w:rsidRPr="006830E2" w:rsidRDefault="00981AE0"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6</w:t>
            </w:r>
          </w:p>
        </w:tc>
        <w:tc>
          <w:tcPr>
            <w:tcW w:w="1573" w:type="dxa"/>
            <w:vAlign w:val="center"/>
            <w:hideMark/>
          </w:tcPr>
          <w:p w14:paraId="417FB21B"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MAZ-5334</w:t>
            </w:r>
          </w:p>
          <w:p w14:paraId="5AE09232" w14:textId="2ABE60D0"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w:t>
            </w:r>
          </w:p>
          <w:p w14:paraId="74556094" w14:textId="77777777" w:rsidR="00981AE0" w:rsidRPr="00981AE0" w:rsidRDefault="00981AE0" w:rsidP="00981AE0">
            <w:pPr>
              <w:spacing w:after="0" w:line="240" w:lineRule="auto"/>
              <w:jc w:val="center"/>
              <w:rPr>
                <w:rFonts w:ascii="GHEA Grapalat" w:eastAsia="Times New Roman" w:hAnsi="GHEA Grapalat" w:cs="Calibri"/>
                <w:kern w:val="0"/>
                <w:sz w:val="18"/>
                <w:szCs w:val="18"/>
                <w14:ligatures w14:val="none"/>
              </w:rPr>
            </w:pPr>
            <w:r w:rsidRPr="00981AE0">
              <w:rPr>
                <w:rFonts w:ascii="GHEA Grapalat" w:eastAsia="Times New Roman" w:hAnsi="GHEA Grapalat" w:cs="Calibri"/>
                <w:kern w:val="0"/>
                <w:sz w:val="18"/>
                <w:szCs w:val="18"/>
                <w14:ligatures w14:val="none"/>
              </w:rPr>
              <w:t>55894</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47863C73" w:rsidR="00152DCF" w:rsidRPr="00573F7C" w:rsidRDefault="00314E28" w:rsidP="006830E2">
            <w:pPr>
              <w:spacing w:after="0" w:line="240" w:lineRule="auto"/>
              <w:rPr>
                <w:rFonts w:ascii="GHEA Grapalat" w:eastAsia="Times New Roman" w:hAnsi="GHEA Grapalat" w:cs="Calibri"/>
                <w:color w:val="000000" w:themeColor="text1"/>
                <w:kern w:val="0"/>
                <w:sz w:val="18"/>
                <w:szCs w:val="18"/>
                <w:highlight w:val="yellow"/>
                <w:lang w:val="hy-AM"/>
                <w14:ligatures w14:val="none"/>
              </w:rPr>
            </w:pPr>
            <w:r>
              <w:rPr>
                <w:rFonts w:ascii="GHEA Grapalat" w:eastAsia="Times New Roman" w:hAnsi="GHEA Grapalat" w:cs="Calibri"/>
                <w:color w:val="000000" w:themeColor="text1"/>
                <w:kern w:val="0"/>
                <w:sz w:val="18"/>
                <w:szCs w:val="18"/>
                <w:lang w:val="hy-AM"/>
                <w14:ligatures w14:val="none"/>
              </w:rPr>
              <w:t>Ք</w:t>
            </w:r>
            <w:r>
              <w:rPr>
                <w:rFonts w:ascii="MS Mincho" w:eastAsia="MS Mincho" w:hAnsi="MS Mincho" w:cs="MS Mincho"/>
                <w:color w:val="000000" w:themeColor="text1"/>
                <w:kern w:val="0"/>
                <w:sz w:val="18"/>
                <w:szCs w:val="18"/>
                <w:lang w:val="hy-AM"/>
                <w14:ligatures w14:val="none"/>
              </w:rPr>
              <w:t xml:space="preserve">․ </w:t>
            </w:r>
            <w:r>
              <w:rPr>
                <w:rFonts w:ascii="GHEA Grapalat" w:eastAsia="Times New Roman" w:hAnsi="GHEA Grapalat" w:cs="Calibri"/>
                <w:color w:val="000000" w:themeColor="text1"/>
                <w:kern w:val="0"/>
                <w:sz w:val="18"/>
                <w:szCs w:val="18"/>
                <w:lang w:val="hy-AM"/>
                <w14:ligatures w14:val="none"/>
              </w:rPr>
              <w:t>Եղվարդ</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15D65D18" w14:textId="2F49BE71" w:rsidR="00152DCF" w:rsidRPr="00314E28" w:rsidRDefault="00152DCF" w:rsidP="00981AE0">
            <w:pP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xml:space="preserve">` </w:t>
            </w:r>
            <w:r w:rsidR="00981AE0">
              <w:rPr>
                <w:rFonts w:ascii="GHEA Grapalat" w:eastAsia="Times New Roman" w:hAnsi="GHEA Grapalat" w:cs="Calibri"/>
                <w:kern w:val="0"/>
                <w:sz w:val="18"/>
                <w:szCs w:val="18"/>
                <w:lang w:val="hy-AM"/>
                <w14:ligatures w14:val="none"/>
              </w:rPr>
              <w:t>1986</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թափքի տեսակը</w:t>
            </w:r>
            <w:r w:rsidR="003E4C55">
              <w:rPr>
                <w:rFonts w:ascii="GHEA Grapalat" w:eastAsia="Times New Roman" w:hAnsi="GHEA Grapalat" w:cs="Calibri"/>
                <w:kern w:val="0"/>
                <w:sz w:val="18"/>
                <w:szCs w:val="18"/>
                <w:lang w:val="hy-AM"/>
                <w14:ligatures w14:val="none"/>
              </w:rPr>
              <w:t xml:space="preserve">՝ </w:t>
            </w:r>
            <w:r w:rsidR="00981AE0" w:rsidRPr="00981AE0">
              <w:rPr>
                <w:rFonts w:ascii="GHEA Grapalat" w:eastAsia="Times New Roman" w:hAnsi="GHEA Grapalat" w:cs="Calibri"/>
                <w:kern w:val="0"/>
                <w:sz w:val="18"/>
                <w:szCs w:val="18"/>
                <w:lang w:val="hy-AM"/>
                <w14:ligatures w14:val="none"/>
              </w:rPr>
              <w:t>Շասսի</w:t>
            </w:r>
          </w:p>
        </w:tc>
        <w:tc>
          <w:tcPr>
            <w:tcW w:w="1108" w:type="dxa"/>
            <w:vAlign w:val="center"/>
          </w:tcPr>
          <w:p w14:paraId="20ACEEC6"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lang w:val="hy-AM"/>
              </w:rPr>
            </w:pPr>
          </w:p>
          <w:p w14:paraId="5BBE17E4" w14:textId="3BAD7624" w:rsidR="00152DCF" w:rsidRPr="00981AE0" w:rsidRDefault="00981AE0" w:rsidP="00152DCF">
            <w:pPr>
              <w:spacing w:after="0" w:line="240" w:lineRule="auto"/>
              <w:jc w:val="center"/>
              <w:rPr>
                <w:rFonts w:ascii="GHEA Grapalat" w:eastAsia="Times New Roman" w:hAnsi="GHEA Grapalat" w:cs="Calibri"/>
                <w:kern w:val="0"/>
                <w:sz w:val="20"/>
                <w:szCs w:val="20"/>
                <w:lang w:val="hy-AM"/>
                <w14:ligatures w14:val="none"/>
              </w:rPr>
            </w:pPr>
            <w:r w:rsidRPr="00981AE0">
              <w:rPr>
                <w:rFonts w:ascii="GHEA Grapalat" w:eastAsia="Times New Roman" w:hAnsi="GHEA Grapalat" w:cs="Times New Roman"/>
                <w:color w:val="000000"/>
                <w:kern w:val="0"/>
                <w:sz w:val="20"/>
                <w:szCs w:val="20"/>
                <w14:ligatures w14:val="none"/>
              </w:rPr>
              <w:t>1 150 000</w:t>
            </w:r>
          </w:p>
        </w:tc>
        <w:tc>
          <w:tcPr>
            <w:tcW w:w="1147" w:type="dxa"/>
            <w:vAlign w:val="center"/>
          </w:tcPr>
          <w:p w14:paraId="29CFC02E" w14:textId="77777777" w:rsidR="00314E28" w:rsidRPr="00981AE0" w:rsidRDefault="00314E28" w:rsidP="00314E28">
            <w:pPr>
              <w:pStyle w:val="a3"/>
              <w:spacing w:before="0" w:beforeAutospacing="0" w:after="0" w:afterAutospacing="0"/>
              <w:ind w:left="-108" w:right="-105"/>
              <w:jc w:val="center"/>
              <w:rPr>
                <w:rFonts w:ascii="GHEA Grapalat" w:hAnsi="GHEA Grapalat"/>
                <w:color w:val="000000"/>
                <w:sz w:val="20"/>
                <w:szCs w:val="20"/>
              </w:rPr>
            </w:pPr>
          </w:p>
          <w:p w14:paraId="26A76C2F" w14:textId="0C5C0305" w:rsidR="00152DCF" w:rsidRPr="00981AE0" w:rsidRDefault="00981AE0" w:rsidP="00152DCF">
            <w:pPr>
              <w:spacing w:after="0" w:line="240" w:lineRule="auto"/>
              <w:jc w:val="center"/>
              <w:rPr>
                <w:rFonts w:ascii="GHEA Grapalat" w:eastAsia="Times New Roman" w:hAnsi="GHEA Grapalat" w:cs="Calibri"/>
                <w:kern w:val="0"/>
                <w:sz w:val="20"/>
                <w:szCs w:val="20"/>
                <w:lang w:val="hy-AM"/>
                <w14:ligatures w14:val="none"/>
              </w:rPr>
            </w:pPr>
            <w:r w:rsidRPr="00981AE0">
              <w:rPr>
                <w:rFonts w:ascii="GHEA Grapalat" w:eastAsia="Times New Roman" w:hAnsi="GHEA Grapalat" w:cs="Times New Roman"/>
                <w:color w:val="000000"/>
                <w:kern w:val="0"/>
                <w:sz w:val="20"/>
                <w:szCs w:val="20"/>
                <w14:ligatures w14:val="none"/>
              </w:rPr>
              <w:t>1 150 000</w:t>
            </w:r>
          </w:p>
        </w:tc>
        <w:tc>
          <w:tcPr>
            <w:tcW w:w="1128" w:type="dxa"/>
            <w:vAlign w:val="center"/>
          </w:tcPr>
          <w:p w14:paraId="2BF16563" w14:textId="77777777" w:rsidR="00314E28" w:rsidRPr="00981AE0" w:rsidRDefault="00314E28" w:rsidP="00314E28">
            <w:pPr>
              <w:spacing w:after="0" w:line="240" w:lineRule="auto"/>
              <w:rPr>
                <w:rFonts w:ascii="GHEA Grapalat" w:eastAsia="Times New Roman" w:hAnsi="GHEA Grapalat" w:cs="Calibri"/>
                <w:kern w:val="0"/>
                <w:sz w:val="20"/>
                <w:szCs w:val="20"/>
                <w14:ligatures w14:val="none"/>
              </w:rPr>
            </w:pPr>
            <w:r w:rsidRPr="00981AE0">
              <w:rPr>
                <w:rFonts w:ascii="GHEA Grapalat" w:eastAsia="Times New Roman" w:hAnsi="GHEA Grapalat" w:cs="Calibri"/>
                <w:kern w:val="0"/>
                <w:sz w:val="20"/>
                <w:szCs w:val="20"/>
                <w14:ligatures w14:val="none"/>
              </w:rPr>
              <w:t xml:space="preserve">  </w:t>
            </w:r>
          </w:p>
          <w:p w14:paraId="7FEDFF31" w14:textId="5CA6A39F" w:rsidR="00152DCF" w:rsidRPr="00981AE0" w:rsidRDefault="00981AE0" w:rsidP="00314E28">
            <w:pPr>
              <w:spacing w:after="0" w:line="240" w:lineRule="auto"/>
              <w:rPr>
                <w:rFonts w:ascii="GHEA Grapalat" w:eastAsia="Times New Roman" w:hAnsi="GHEA Grapalat" w:cs="Calibri"/>
                <w:kern w:val="0"/>
                <w:sz w:val="20"/>
                <w:szCs w:val="20"/>
                <w:lang w:val="hy-AM"/>
                <w14:ligatures w14:val="none"/>
              </w:rPr>
            </w:pPr>
            <w:r w:rsidRPr="00981AE0">
              <w:rPr>
                <w:rFonts w:ascii="GHEA Grapalat" w:eastAsia="Times New Roman" w:hAnsi="GHEA Grapalat" w:cs="Calibri"/>
                <w:kern w:val="0"/>
                <w:sz w:val="20"/>
                <w:szCs w:val="20"/>
                <w14:ligatures w14:val="none"/>
              </w:rPr>
              <w:t>345 000</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577D7E15" w:rsidR="00152DCF" w:rsidRPr="006830E2" w:rsidRDefault="00981AE0"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5</w:t>
            </w:r>
            <w:r w:rsidR="003E4C55">
              <w:rPr>
                <w:rFonts w:ascii="GHEA Grapalat" w:eastAsia="Times New Roman" w:hAnsi="GHEA Grapalat" w:cs="Calibri"/>
                <w:kern w:val="0"/>
                <w:sz w:val="18"/>
                <w:szCs w:val="18"/>
                <w:lang w:val="hy-AM"/>
                <w14:ligatures w14:val="none"/>
              </w:rPr>
              <w:t xml:space="preserve">0 </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 xml:space="preserve">հասցե` </w:t>
      </w:r>
      <w:proofErr w:type="gramStart"/>
      <w:r w:rsidRPr="006830E2">
        <w:rPr>
          <w:rFonts w:ascii="GHEA Grapalat" w:hAnsi="GHEA Grapalat"/>
          <w:i/>
          <w:iCs/>
          <w:sz w:val="16"/>
          <w:szCs w:val="16"/>
          <w:lang w:val="hy-AM"/>
        </w:rPr>
        <w:t>ք.Երևան</w:t>
      </w:r>
      <w:proofErr w:type="gramEnd"/>
      <w:r w:rsidRPr="006830E2">
        <w:rPr>
          <w:rFonts w:ascii="GHEA Grapalat" w:hAnsi="GHEA Grapalat"/>
          <w:i/>
          <w:iCs/>
          <w:sz w:val="16"/>
          <w:szCs w:val="16"/>
          <w:lang w:val="hy-AM"/>
        </w:rPr>
        <w:t>,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5205B"/>
    <w:rsid w:val="000C1E74"/>
    <w:rsid w:val="000F6FAD"/>
    <w:rsid w:val="001141D8"/>
    <w:rsid w:val="00133D5B"/>
    <w:rsid w:val="0013760A"/>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47CCA"/>
    <w:rsid w:val="00252C68"/>
    <w:rsid w:val="00257553"/>
    <w:rsid w:val="00291D51"/>
    <w:rsid w:val="002A1377"/>
    <w:rsid w:val="002B2CE2"/>
    <w:rsid w:val="002B327B"/>
    <w:rsid w:val="002E34A6"/>
    <w:rsid w:val="002F5A5D"/>
    <w:rsid w:val="002F76E3"/>
    <w:rsid w:val="00314E28"/>
    <w:rsid w:val="00314F76"/>
    <w:rsid w:val="003468F8"/>
    <w:rsid w:val="00357960"/>
    <w:rsid w:val="00380C31"/>
    <w:rsid w:val="003A5D44"/>
    <w:rsid w:val="003D5157"/>
    <w:rsid w:val="003E4C55"/>
    <w:rsid w:val="003E5512"/>
    <w:rsid w:val="003F6EAF"/>
    <w:rsid w:val="00415B95"/>
    <w:rsid w:val="0042023B"/>
    <w:rsid w:val="00446DD8"/>
    <w:rsid w:val="004740A1"/>
    <w:rsid w:val="004759BE"/>
    <w:rsid w:val="00475CDF"/>
    <w:rsid w:val="00482E5E"/>
    <w:rsid w:val="00495BEA"/>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11A7"/>
    <w:rsid w:val="006830E2"/>
    <w:rsid w:val="00683CD2"/>
    <w:rsid w:val="0069729F"/>
    <w:rsid w:val="006F040A"/>
    <w:rsid w:val="007009A8"/>
    <w:rsid w:val="007348E0"/>
    <w:rsid w:val="0074728D"/>
    <w:rsid w:val="00752DF5"/>
    <w:rsid w:val="00754BD4"/>
    <w:rsid w:val="007829A5"/>
    <w:rsid w:val="00796CBA"/>
    <w:rsid w:val="007A3141"/>
    <w:rsid w:val="007B2184"/>
    <w:rsid w:val="007B259C"/>
    <w:rsid w:val="008034E3"/>
    <w:rsid w:val="00804C11"/>
    <w:rsid w:val="008202C4"/>
    <w:rsid w:val="00831519"/>
    <w:rsid w:val="00835934"/>
    <w:rsid w:val="0084297D"/>
    <w:rsid w:val="00873C05"/>
    <w:rsid w:val="008866BE"/>
    <w:rsid w:val="008930B1"/>
    <w:rsid w:val="009402D0"/>
    <w:rsid w:val="009553EF"/>
    <w:rsid w:val="0096097F"/>
    <w:rsid w:val="009709DB"/>
    <w:rsid w:val="00981AE0"/>
    <w:rsid w:val="009B6C15"/>
    <w:rsid w:val="009C0EB1"/>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B71F1"/>
    <w:rsid w:val="00BC451C"/>
    <w:rsid w:val="00BC56F1"/>
    <w:rsid w:val="00BF22E6"/>
    <w:rsid w:val="00BF3B28"/>
    <w:rsid w:val="00C37D0C"/>
    <w:rsid w:val="00C50E7A"/>
    <w:rsid w:val="00C53048"/>
    <w:rsid w:val="00C54595"/>
    <w:rsid w:val="00C55287"/>
    <w:rsid w:val="00C72A92"/>
    <w:rsid w:val="00C80057"/>
    <w:rsid w:val="00C90A58"/>
    <w:rsid w:val="00CB7C14"/>
    <w:rsid w:val="00CC5296"/>
    <w:rsid w:val="00CD2678"/>
    <w:rsid w:val="00CD31AE"/>
    <w:rsid w:val="00CE7833"/>
    <w:rsid w:val="00D17025"/>
    <w:rsid w:val="00D21DBB"/>
    <w:rsid w:val="00D35907"/>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EE1DE4"/>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3</Pages>
  <Words>1565</Words>
  <Characters>8922</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174</cp:revision>
  <dcterms:created xsi:type="dcterms:W3CDTF">2024-10-29T08:16:00Z</dcterms:created>
  <dcterms:modified xsi:type="dcterms:W3CDTF">2025-08-28T06:40:00Z</dcterms:modified>
</cp:coreProperties>
</file>