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0CB9F5"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D21CA6" w:rsidRPr="00D21CA6">
        <w:rPr>
          <w:rFonts w:ascii="GHEA Grapalat" w:hAnsi="GHEA Grapalat"/>
          <w:b/>
          <w:bCs/>
        </w:rPr>
        <w:t xml:space="preserve">օգոստոսի 8-ին, ժամը՝ 09:05-ին </w:t>
      </w:r>
      <w:r w:rsidRPr="00852F01">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05D72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F67B25">
        <w:rPr>
          <w:rFonts w:ascii="GHEA Grapalat" w:hAnsi="GHEA Grapalat"/>
          <w:b/>
          <w:bCs/>
          <w:lang w:val="hy-AM"/>
        </w:rPr>
        <w:t>53</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1942F15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811C70" w:rsidRPr="00811C70">
              <w:rPr>
                <w:rFonts w:ascii="GHEA Grapalat" w:eastAsia="Times New Roman" w:hAnsi="GHEA Grapalat" w:cs="Calibri"/>
                <w:b/>
                <w:bCs/>
                <w:kern w:val="0"/>
                <w:sz w:val="16"/>
                <w:szCs w:val="16"/>
                <w14:ligatures w14:val="none"/>
              </w:rPr>
              <w:t>(հա)</w:t>
            </w:r>
            <w:r w:rsidRPr="00FB7D11">
              <w:rPr>
                <w:rFonts w:ascii="GHEA Grapalat" w:eastAsia="Times New Roman" w:hAnsi="GHEA Grapalat" w:cs="Calibri"/>
                <w:b/>
                <w:bCs/>
                <w:kern w:val="0"/>
                <w:sz w:val="16"/>
                <w:szCs w:val="16"/>
                <w14:ligatures w14:val="none"/>
              </w:rPr>
              <w:t xml:space="preserve">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41474042" w:rsidR="002F100A" w:rsidRPr="008058DF" w:rsidRDefault="00EA2D93" w:rsidP="0030458B">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p>
        </w:tc>
        <w:tc>
          <w:tcPr>
            <w:tcW w:w="1320" w:type="dxa"/>
            <w:shd w:val="clear" w:color="auto" w:fill="auto"/>
            <w:vAlign w:val="center"/>
            <w:hideMark/>
          </w:tcPr>
          <w:p w14:paraId="6670E3FE" w14:textId="4243833E" w:rsidR="002F100A" w:rsidRPr="006453A4" w:rsidRDefault="006453A4"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1E457D" w:rsidRPr="001E457D">
              <w:rPr>
                <w:rFonts w:ascii="GHEA Grapalat" w:eastAsia="Times New Roman" w:hAnsi="GHEA Grapalat" w:cs="Calibri"/>
                <w:kern w:val="0"/>
                <w:sz w:val="16"/>
                <w:szCs w:val="16"/>
                <w:lang w:val="hy-AM"/>
                <w14:ligatures w14:val="none"/>
              </w:rPr>
              <w:t xml:space="preserve">Մարզ Գեղարքունիք, համայնք Սևան ք. Ռուսական փողոց թիվ 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1E457D" w:rsidRPr="001E457D">
              <w:rPr>
                <w:rFonts w:ascii="GHEA Grapalat" w:eastAsia="Times New Roman" w:hAnsi="GHEA Grapalat" w:cs="Calibri"/>
                <w:kern w:val="0"/>
                <w:sz w:val="16"/>
                <w:szCs w:val="16"/>
                <w:lang w:val="hy-AM"/>
                <w14:ligatures w14:val="none"/>
              </w:rPr>
              <w:t>30042019-05-0039</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42D713BA"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2572,67</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w:t>
            </w:r>
            <w:r w:rsidR="00811C70">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 xml:space="preserve">2445.75 </w:t>
            </w:r>
            <w:r w:rsidR="008058DF" w:rsidRPr="008058DF">
              <w:rPr>
                <w:rFonts w:ascii="GHEA Grapalat" w:eastAsia="Times New Roman" w:hAnsi="GHEA Grapalat" w:cs="Calibri"/>
                <w:kern w:val="0"/>
                <w:sz w:val="16"/>
                <w:szCs w:val="16"/>
                <w:lang w:val="hy-AM"/>
                <w14:ligatures w14:val="none"/>
              </w:rPr>
              <w:t xml:space="preserve">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Ենթակայան</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24.44 ք.մ.</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75.44 ք.մ.</w:t>
            </w:r>
            <w:r>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27.04 ք.մ.</w:t>
            </w:r>
            <w:r w:rsidR="008058DF" w:rsidRPr="008058DF">
              <w:rPr>
                <w:rFonts w:ascii="GHEA Grapalat" w:eastAsia="Times New Roman" w:hAnsi="GHEA Grapalat" w:cs="Calibri"/>
                <w:kern w:val="0"/>
                <w:sz w:val="16"/>
                <w:szCs w:val="16"/>
                <w:lang w:val="hy-AM"/>
                <w14:ligatures w14:val="none"/>
              </w:rPr>
              <w:t>)</w:t>
            </w:r>
          </w:p>
        </w:tc>
        <w:tc>
          <w:tcPr>
            <w:tcW w:w="1068" w:type="dxa"/>
            <w:shd w:val="clear" w:color="auto" w:fill="auto"/>
            <w:vAlign w:val="center"/>
            <w:hideMark/>
          </w:tcPr>
          <w:p w14:paraId="30F52B25" w14:textId="43C1D4E7" w:rsidR="002F100A" w:rsidRPr="001E457D" w:rsidRDefault="00811C70" w:rsidP="0030458B">
            <w:pPr>
              <w:spacing w:after="0" w:line="240" w:lineRule="auto"/>
              <w:jc w:val="center"/>
              <w:rPr>
                <w:rFonts w:ascii="GHEA Grapalat" w:eastAsia="Microsoft YaHei" w:hAnsi="GHEA Grapalat" w:cs="Microsoft YaHei"/>
                <w:kern w:val="0"/>
                <w:sz w:val="16"/>
                <w:szCs w:val="16"/>
                <w:lang w:val="hy-AM"/>
                <w14:ligatures w14:val="none"/>
              </w:rPr>
            </w:pPr>
            <w:r w:rsidRPr="00811C70">
              <w:rPr>
                <w:rFonts w:ascii="GHEA Grapalat" w:eastAsia="Times New Roman" w:hAnsi="GHEA Grapalat" w:cs="Calibri"/>
                <w:kern w:val="0"/>
                <w:sz w:val="16"/>
                <w:szCs w:val="16"/>
                <w:lang w:val="hy-AM"/>
                <w14:ligatures w14:val="none"/>
              </w:rPr>
              <w:t>0.679</w:t>
            </w:r>
          </w:p>
        </w:tc>
        <w:tc>
          <w:tcPr>
            <w:tcW w:w="1236" w:type="dxa"/>
            <w:shd w:val="clear" w:color="auto" w:fill="auto"/>
            <w:vAlign w:val="center"/>
            <w:hideMark/>
          </w:tcPr>
          <w:p w14:paraId="4884F7EB" w14:textId="387CBED7"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500 000</w:t>
            </w:r>
          </w:p>
        </w:tc>
        <w:tc>
          <w:tcPr>
            <w:tcW w:w="1236" w:type="dxa"/>
            <w:vAlign w:val="center"/>
          </w:tcPr>
          <w:p w14:paraId="03DC9E7A" w14:textId="1A5D1DCE" w:rsidR="002F100A" w:rsidRPr="006453A4" w:rsidRDefault="00AB4000"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4535DE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sidRPr="001E457D">
              <w:rPr>
                <w:rFonts w:ascii="GHEA Grapalat" w:eastAsia="Times New Roman" w:hAnsi="GHEA Grapalat" w:cs="Calibri"/>
                <w:kern w:val="0"/>
                <w:sz w:val="16"/>
                <w:szCs w:val="16"/>
                <w:lang w:val="hy-AM"/>
                <w14:ligatures w14:val="none"/>
              </w:rPr>
              <w:t>190</w:t>
            </w:r>
            <w:r w:rsidRPr="001E457D">
              <w:rPr>
                <w:rFonts w:ascii="Calibri" w:eastAsia="Times New Roman" w:hAnsi="Calibri" w:cs="Calibri"/>
                <w:kern w:val="0"/>
                <w:sz w:val="16"/>
                <w:szCs w:val="16"/>
                <w:lang w:val="hy-AM"/>
                <w14:ligatures w14:val="none"/>
              </w:rPr>
              <w:t> </w:t>
            </w:r>
            <w:r w:rsidRPr="001E457D">
              <w:rPr>
                <w:rFonts w:ascii="GHEA Grapalat" w:eastAsia="Times New Roman" w:hAnsi="GHEA Grapalat" w:cs="Calibri"/>
                <w:kern w:val="0"/>
                <w:sz w:val="16"/>
                <w:szCs w:val="16"/>
                <w:lang w:val="hy-AM"/>
                <w14:ligatures w14:val="none"/>
              </w:rPr>
              <w:t>500 000</w:t>
            </w:r>
          </w:p>
        </w:tc>
        <w:tc>
          <w:tcPr>
            <w:tcW w:w="1259" w:type="dxa"/>
            <w:shd w:val="clear" w:color="auto" w:fill="auto"/>
            <w:vAlign w:val="center"/>
            <w:hideMark/>
          </w:tcPr>
          <w:p w14:paraId="00C3D173" w14:textId="7A70A653" w:rsidR="002F100A" w:rsidRPr="002F100A"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050 000</w:t>
            </w:r>
          </w:p>
        </w:tc>
        <w:tc>
          <w:tcPr>
            <w:tcW w:w="1192" w:type="dxa"/>
            <w:vAlign w:val="center"/>
          </w:tcPr>
          <w:p w14:paraId="4DA2EDB7" w14:textId="1CE3302E"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905 000</w:t>
            </w:r>
          </w:p>
        </w:tc>
        <w:tc>
          <w:tcPr>
            <w:tcW w:w="1363" w:type="dxa"/>
            <w:shd w:val="clear" w:color="auto" w:fill="auto"/>
            <w:vAlign w:val="center"/>
            <w:hideMark/>
          </w:tcPr>
          <w:p w14:paraId="7346DF8C" w14:textId="080EF7DB"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908 920,80</w:t>
            </w:r>
          </w:p>
        </w:tc>
      </w:tr>
      <w:tr w:rsidR="002F100A" w:rsidRPr="00594B24" w14:paraId="1B0DC5E1" w14:textId="77777777" w:rsidTr="00EA2D93">
        <w:trPr>
          <w:trHeight w:val="825"/>
          <w:jc w:val="center"/>
        </w:trPr>
        <w:tc>
          <w:tcPr>
            <w:tcW w:w="14325" w:type="dxa"/>
            <w:gridSpan w:val="12"/>
            <w:vAlign w:val="center"/>
          </w:tcPr>
          <w:p w14:paraId="36ACB7A3" w14:textId="3FCBDE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AB4000">
              <w:rPr>
                <w:rFonts w:ascii="GHEA Grapalat" w:eastAsia="Times New Roman" w:hAnsi="GHEA Grapalat" w:cs="Calibri"/>
                <w:kern w:val="0"/>
                <w:sz w:val="18"/>
                <w:szCs w:val="18"/>
                <w:lang w:val="hy-AM"/>
                <w14:ligatures w14:val="none"/>
              </w:rPr>
              <w:t>լավ։ Տանիքը՝ հարթ, դռները՝ փայտե, հատակը՝ բետոն։</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3C04E1BA" w14:textId="3E1D47BA" w:rsidR="00D73D48" w:rsidRPr="00D73D48" w:rsidRDefault="002F76E3" w:rsidP="00D73D48">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D73D48" w:rsidRPr="00D73D4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54687A" w14:textId="77777777" w:rsidR="00D73D48" w:rsidRPr="00D73D48" w:rsidRDefault="00D73D48" w:rsidP="00D73D48">
      <w:pPr>
        <w:jc w:val="both"/>
        <w:rPr>
          <w:rFonts w:ascii="GHEA Grapalat" w:hAnsi="GHEA Grapalat"/>
          <w:b/>
          <w:bCs/>
          <w:i/>
          <w:iCs/>
          <w:sz w:val="16"/>
          <w:szCs w:val="16"/>
          <w:lang w:val="hy-AM"/>
        </w:rPr>
      </w:pPr>
      <w:r w:rsidRPr="00D73D48">
        <w:rPr>
          <w:rFonts w:ascii="GHEA Grapalat" w:hAnsi="GHEA Grapalat"/>
          <w:b/>
          <w:bCs/>
          <w:i/>
          <w:iCs/>
          <w:sz w:val="16"/>
          <w:szCs w:val="16"/>
          <w:lang w:val="hy-AM"/>
        </w:rPr>
        <w:lastRenderedPageBreak/>
        <w:t>*</w:t>
      </w:r>
      <w:r w:rsidRPr="00D73D48">
        <w:rPr>
          <w:rFonts w:ascii="GHEA Grapalat" w:hAnsi="GHEA Grapalat"/>
          <w:i/>
          <w:iCs/>
          <w:sz w:val="16"/>
          <w:szCs w:val="16"/>
          <w:lang w:val="hy-AM"/>
        </w:rPr>
        <w:t xml:space="preserve"> </w:t>
      </w:r>
      <w:r w:rsidRPr="00D73D48">
        <w:rPr>
          <w:rFonts w:ascii="GHEA Grapalat" w:hAnsi="GHEA Grapalat"/>
          <w:b/>
          <w:bCs/>
          <w:i/>
          <w:iCs/>
          <w:sz w:val="16"/>
          <w:szCs w:val="16"/>
          <w:lang w:val="hy-AM"/>
        </w:rPr>
        <w:t>էլեկտրոնային աճուրդի ավարտի հաշվարկային ժամ</w:t>
      </w:r>
      <w:r w:rsidRPr="00D73D48">
        <w:rPr>
          <w:rFonts w:ascii="Calibri" w:hAnsi="Calibri" w:cs="Calibri"/>
          <w:b/>
          <w:bCs/>
          <w:i/>
          <w:iCs/>
          <w:sz w:val="16"/>
          <w:szCs w:val="16"/>
          <w:lang w:val="hy-AM"/>
        </w:rPr>
        <w:t> </w:t>
      </w:r>
      <w:r w:rsidRPr="00D73D4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E9A4FC"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w:t>
      </w:r>
      <w:r w:rsidR="00D1068A">
        <w:rPr>
          <w:rFonts w:ascii="GHEA Grapalat" w:hAnsi="GHEA Grapalat"/>
          <w:b/>
          <w:bCs/>
          <w:i/>
          <w:iCs/>
          <w:sz w:val="16"/>
          <w:szCs w:val="16"/>
          <w:lang w:val="hy-AM"/>
        </w:rPr>
        <w:t>53</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678DC"/>
    <w:rsid w:val="000A1591"/>
    <w:rsid w:val="00173AF7"/>
    <w:rsid w:val="001D0AAD"/>
    <w:rsid w:val="001E457D"/>
    <w:rsid w:val="001F62C0"/>
    <w:rsid w:val="002D2588"/>
    <w:rsid w:val="002F100A"/>
    <w:rsid w:val="002F76E3"/>
    <w:rsid w:val="0030458B"/>
    <w:rsid w:val="003468F8"/>
    <w:rsid w:val="003A7686"/>
    <w:rsid w:val="003B2C15"/>
    <w:rsid w:val="004427C9"/>
    <w:rsid w:val="00444DE0"/>
    <w:rsid w:val="00495BEA"/>
    <w:rsid w:val="004C3173"/>
    <w:rsid w:val="004D674E"/>
    <w:rsid w:val="004F6C71"/>
    <w:rsid w:val="00566486"/>
    <w:rsid w:val="00594B24"/>
    <w:rsid w:val="005C16F3"/>
    <w:rsid w:val="006453A4"/>
    <w:rsid w:val="00691B96"/>
    <w:rsid w:val="0069729F"/>
    <w:rsid w:val="00707EDC"/>
    <w:rsid w:val="007347D7"/>
    <w:rsid w:val="008058DF"/>
    <w:rsid w:val="00811C70"/>
    <w:rsid w:val="00852F01"/>
    <w:rsid w:val="008B510F"/>
    <w:rsid w:val="008E7C50"/>
    <w:rsid w:val="009A1E02"/>
    <w:rsid w:val="009A36C0"/>
    <w:rsid w:val="00A53AF7"/>
    <w:rsid w:val="00AA133E"/>
    <w:rsid w:val="00AB4000"/>
    <w:rsid w:val="00B42775"/>
    <w:rsid w:val="00B71100"/>
    <w:rsid w:val="00B7414D"/>
    <w:rsid w:val="00B846C0"/>
    <w:rsid w:val="00B874A9"/>
    <w:rsid w:val="00BA5EC5"/>
    <w:rsid w:val="00BC1C82"/>
    <w:rsid w:val="00BF0B4B"/>
    <w:rsid w:val="00C473D6"/>
    <w:rsid w:val="00CC3045"/>
    <w:rsid w:val="00CD2678"/>
    <w:rsid w:val="00D1068A"/>
    <w:rsid w:val="00D21CA6"/>
    <w:rsid w:val="00D56344"/>
    <w:rsid w:val="00D73D48"/>
    <w:rsid w:val="00D87A28"/>
    <w:rsid w:val="00E22626"/>
    <w:rsid w:val="00E829D2"/>
    <w:rsid w:val="00E873E7"/>
    <w:rsid w:val="00EA2D93"/>
    <w:rsid w:val="00EB0DCF"/>
    <w:rsid w:val="00F16B1D"/>
    <w:rsid w:val="00F434CF"/>
    <w:rsid w:val="00F67B25"/>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1418</Words>
  <Characters>8084</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2024-12-26T12:44:00Z</dcterms:created>
  <dcterms:modified xsi:type="dcterms:W3CDTF">2025-07-07T07:49:00Z</dcterms:modified>
</cp:coreProperties>
</file>