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36A01E6"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26F6F">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BA256E">
        <w:rPr>
          <w:rFonts w:ascii="GHEA Grapalat" w:hAnsi="GHEA Grapalat"/>
          <w:b/>
          <w:bCs/>
        </w:rPr>
        <w:t xml:space="preserve"> մայիսի 2</w:t>
      </w:r>
      <w:r w:rsidRPr="002F76E3">
        <w:rPr>
          <w:rFonts w:ascii="GHEA Grapalat" w:hAnsi="GHEA Grapalat"/>
          <w:b/>
          <w:bCs/>
          <w:lang w:val="hy-AM"/>
        </w:rPr>
        <w:t xml:space="preserve">-ին, ժամը՝ </w:t>
      </w:r>
      <w:r w:rsidR="0024131A">
        <w:rPr>
          <w:rFonts w:ascii="GHEA Grapalat" w:hAnsi="GHEA Grapalat"/>
          <w:b/>
          <w:bCs/>
          <w:lang w:val="hy-AM"/>
        </w:rPr>
        <w:t>9</w:t>
      </w:r>
      <w:r w:rsidRPr="002F76E3">
        <w:rPr>
          <w:rFonts w:ascii="GHEA Grapalat" w:hAnsi="GHEA Grapalat"/>
          <w:b/>
          <w:bCs/>
          <w:lang w:val="hy-AM"/>
        </w:rPr>
        <w:t>:</w:t>
      </w:r>
      <w:r w:rsidR="0090303A">
        <w:rPr>
          <w:rFonts w:ascii="GHEA Grapalat" w:hAnsi="GHEA Grapalat"/>
          <w:b/>
          <w:bCs/>
          <w:lang w:val="hy-AM"/>
        </w:rPr>
        <w:t>1</w:t>
      </w:r>
      <w:r w:rsidR="00BA256E">
        <w:rPr>
          <w:rFonts w:ascii="GHEA Grapalat" w:hAnsi="GHEA Grapalat"/>
          <w:b/>
          <w:bCs/>
          <w:lang w:val="hy-AM"/>
        </w:rPr>
        <w:t>0</w:t>
      </w:r>
      <w:r w:rsidRPr="002F76E3">
        <w:rPr>
          <w:rFonts w:ascii="GHEA Grapalat" w:hAnsi="GHEA Grapalat"/>
          <w:b/>
          <w:bCs/>
          <w:lang w:val="hy-AM"/>
        </w:rPr>
        <w:t xml:space="preserve">-ին </w:t>
      </w:r>
      <w:r w:rsidR="0024131A">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BAFB3A1" w:rsidR="002F76E3" w:rsidRPr="00BF0B4B" w:rsidRDefault="005A60C2" w:rsidP="00BF0B4B">
      <w:pPr>
        <w:ind w:firstLine="720"/>
        <w:jc w:val="both"/>
        <w:rPr>
          <w:rFonts w:ascii="GHEA Grapalat" w:hAnsi="GHEA Grapalat"/>
          <w:b/>
          <w:bCs/>
          <w:lang w:val="hy-AM"/>
        </w:rPr>
      </w:pPr>
      <w:bookmarkStart w:id="0" w:name="_Hlk181969987"/>
      <w:bookmarkStart w:id="1" w:name="_Hlk181969943"/>
      <w:bookmarkStart w:id="2" w:name="_Hlk181874982"/>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w:t>
      </w:r>
      <w:r w:rsidR="00925F1C">
        <w:rPr>
          <w:rFonts w:ascii="GHEA Grapalat" w:hAnsi="GHEA Grapalat"/>
          <w:b/>
          <w:bCs/>
          <w:lang w:val="hy-AM"/>
        </w:rPr>
        <w:t>հոկտեմբերի</w:t>
      </w:r>
      <w:r w:rsidRPr="002F76E3">
        <w:rPr>
          <w:rFonts w:ascii="GHEA Grapalat" w:hAnsi="GHEA Grapalat"/>
          <w:b/>
          <w:bCs/>
          <w:lang w:val="hy-AM"/>
        </w:rPr>
        <w:t xml:space="preserve"> </w:t>
      </w:r>
      <w:r w:rsidR="00925F1C">
        <w:rPr>
          <w:rFonts w:ascii="GHEA Grapalat" w:hAnsi="GHEA Grapalat"/>
          <w:b/>
          <w:bCs/>
          <w:lang w:val="hy-AM"/>
        </w:rPr>
        <w:t>31</w:t>
      </w:r>
      <w:r w:rsidRPr="002F76E3">
        <w:rPr>
          <w:rFonts w:ascii="GHEA Grapalat" w:hAnsi="GHEA Grapalat"/>
          <w:b/>
          <w:bCs/>
        </w:rPr>
        <w:t>-</w:t>
      </w:r>
      <w:r w:rsidRPr="002F76E3">
        <w:rPr>
          <w:rFonts w:ascii="GHEA Grapalat" w:hAnsi="GHEA Grapalat"/>
          <w:b/>
          <w:bCs/>
          <w:lang w:val="hy-AM"/>
        </w:rPr>
        <w:t xml:space="preserve">ի թիվ </w:t>
      </w:r>
      <w:r>
        <w:rPr>
          <w:rFonts w:ascii="GHEA Grapalat" w:hAnsi="GHEA Grapalat"/>
          <w:b/>
          <w:bCs/>
          <w:lang w:val="hy-AM"/>
        </w:rPr>
        <w:t>1</w:t>
      </w:r>
      <w:r w:rsidR="00925F1C">
        <w:rPr>
          <w:rFonts w:ascii="GHEA Grapalat" w:hAnsi="GHEA Grapalat"/>
          <w:b/>
          <w:bCs/>
          <w:lang w:val="hy-AM"/>
        </w:rPr>
        <w:t>721</w:t>
      </w:r>
      <w:r w:rsidRPr="002F76E3">
        <w:rPr>
          <w:rFonts w:ascii="GHEA Grapalat" w:hAnsi="GHEA Grapalat"/>
          <w:b/>
          <w:bCs/>
          <w:lang w:val="hy-AM"/>
        </w:rPr>
        <w:t>-Ա որոշ</w:t>
      </w:r>
      <w:r>
        <w:rPr>
          <w:rFonts w:ascii="GHEA Grapalat" w:hAnsi="GHEA Grapalat"/>
          <w:b/>
          <w:bCs/>
          <w:lang w:val="hy-AM"/>
        </w:rPr>
        <w:t>մամբ</w:t>
      </w:r>
      <w:bookmarkEnd w:id="0"/>
      <w:r w:rsidRPr="002F76E3">
        <w:rPr>
          <w:rFonts w:ascii="GHEA Grapalat" w:hAnsi="GHEA Grapalat"/>
          <w:b/>
          <w:bCs/>
        </w:rPr>
        <w:t xml:space="preserve"> </w:t>
      </w:r>
      <w:r w:rsidRPr="002F76E3">
        <w:rPr>
          <w:rFonts w:ascii="GHEA Grapalat" w:hAnsi="GHEA Grapalat"/>
          <w:b/>
          <w:bCs/>
          <w:lang w:val="hy-AM"/>
        </w:rPr>
        <w:t xml:space="preserve">օտարման ենթակա </w:t>
      </w:r>
      <w:bookmarkStart w:id="3" w:name="_Hlk181970024"/>
      <w:r w:rsidRPr="002F76E3">
        <w:rPr>
          <w:rFonts w:ascii="GHEA Grapalat" w:hAnsi="GHEA Grapalat"/>
          <w:b/>
          <w:bCs/>
          <w:lang w:val="hy-AM"/>
        </w:rPr>
        <w:t xml:space="preserve">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ետական գույքի կառավարման</w:t>
      </w:r>
      <w:bookmarkEnd w:id="3"/>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1"/>
      <w:r w:rsidR="002F76E3" w:rsidRPr="002F76E3">
        <w:rPr>
          <w:rFonts w:ascii="GHEA Grapalat" w:hAnsi="GHEA Grapalat"/>
          <w:b/>
          <w:bCs/>
          <w:lang w:val="hy-AM"/>
        </w:rPr>
        <w:t xml:space="preserve"> </w:t>
      </w:r>
    </w:p>
    <w:tbl>
      <w:tblPr>
        <w:tblW w:w="14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
        <w:gridCol w:w="885"/>
        <w:gridCol w:w="1635"/>
        <w:gridCol w:w="915"/>
        <w:gridCol w:w="1695"/>
        <w:gridCol w:w="1710"/>
        <w:gridCol w:w="1440"/>
        <w:gridCol w:w="1260"/>
        <w:gridCol w:w="1170"/>
        <w:gridCol w:w="1186"/>
        <w:gridCol w:w="1119"/>
      </w:tblGrid>
      <w:tr w:rsidR="00635DA5" w:rsidRPr="003E247A" w14:paraId="6573C837" w14:textId="77777777" w:rsidTr="00127A6C">
        <w:trPr>
          <w:trHeight w:val="1035"/>
          <w:jc w:val="center"/>
        </w:trPr>
        <w:tc>
          <w:tcPr>
            <w:tcW w:w="630" w:type="dxa"/>
            <w:shd w:val="clear" w:color="auto" w:fill="auto"/>
            <w:vAlign w:val="center"/>
            <w:hideMark/>
          </w:tcPr>
          <w:bookmarkEnd w:id="2"/>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50"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885"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(լոտի) անվանումը</w:t>
            </w:r>
          </w:p>
        </w:tc>
        <w:tc>
          <w:tcPr>
            <w:tcW w:w="163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Հասցե</w:t>
            </w:r>
          </w:p>
        </w:tc>
        <w:tc>
          <w:tcPr>
            <w:tcW w:w="915"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Մասնաշենքի մակերեսը                         /քառ. մետր/</w:t>
            </w:r>
          </w:p>
        </w:tc>
        <w:tc>
          <w:tcPr>
            <w:tcW w:w="1695"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Հողամասի մակերեսը                                                              /հեկտար/</w:t>
            </w:r>
          </w:p>
        </w:tc>
        <w:tc>
          <w:tcPr>
            <w:tcW w:w="1710"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գնահատված արժեքը                                /ՀՀ դրամ/</w:t>
            </w:r>
          </w:p>
        </w:tc>
        <w:tc>
          <w:tcPr>
            <w:tcW w:w="1440" w:type="dxa"/>
            <w:vAlign w:val="center"/>
          </w:tcPr>
          <w:p w14:paraId="4BA1C311" w14:textId="03E21493" w:rsidR="005A60C2" w:rsidRPr="003E247A" w:rsidRDefault="00736900"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Հ</w:t>
            </w:r>
            <w:r w:rsidR="005A60C2" w:rsidRPr="003E247A">
              <w:rPr>
                <w:rFonts w:ascii="GHEA Grapalat" w:eastAsia="Times New Roman" w:hAnsi="GHEA Grapalat" w:cs="Calibri"/>
                <w:b/>
                <w:bCs/>
                <w:sz w:val="14"/>
                <w:szCs w:val="14"/>
              </w:rPr>
              <w:t>ողի շուկայական արժեքին մոտարկված կադաստրային արժեքը</w:t>
            </w:r>
          </w:p>
        </w:tc>
        <w:tc>
          <w:tcPr>
            <w:tcW w:w="1260"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Լոտի մեկնարկային գինը</w:t>
            </w:r>
            <w:r w:rsidRPr="003E247A">
              <w:rPr>
                <w:rFonts w:ascii="GHEA Grapalat" w:eastAsia="Times New Roman" w:hAnsi="GHEA Grapalat" w:cs="Calibri"/>
                <w:b/>
                <w:bCs/>
                <w:sz w:val="14"/>
                <w:szCs w:val="14"/>
              </w:rPr>
              <w:br/>
              <w:t>/ՀՀ դրամ/</w:t>
            </w:r>
          </w:p>
        </w:tc>
        <w:tc>
          <w:tcPr>
            <w:tcW w:w="1170"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Նախավճարը                   /ՀՀ դրամ/</w:t>
            </w:r>
          </w:p>
        </w:tc>
        <w:tc>
          <w:tcPr>
            <w:tcW w:w="1186" w:type="dxa"/>
            <w:vAlign w:val="center"/>
          </w:tcPr>
          <w:p w14:paraId="6E51605F" w14:textId="52AC01B9" w:rsidR="005A60C2" w:rsidRPr="003E247A" w:rsidRDefault="00127A6C" w:rsidP="002F76E3">
            <w:pPr>
              <w:spacing w:after="0" w:line="240" w:lineRule="auto"/>
              <w:jc w:val="center"/>
              <w:rPr>
                <w:rFonts w:ascii="GHEA Grapalat" w:eastAsia="Times New Roman" w:hAnsi="GHEA Grapalat" w:cs="Calibri"/>
                <w:b/>
                <w:bCs/>
                <w:sz w:val="14"/>
                <w:szCs w:val="14"/>
              </w:rPr>
            </w:pPr>
            <w:r>
              <w:rPr>
                <w:rFonts w:ascii="GHEA Grapalat" w:eastAsia="Times New Roman" w:hAnsi="GHEA Grapalat" w:cs="Calibri"/>
                <w:b/>
                <w:bCs/>
                <w:sz w:val="14"/>
                <w:szCs w:val="14"/>
              </w:rPr>
              <w:t>Ն</w:t>
            </w:r>
            <w:r w:rsidR="005A60C2" w:rsidRPr="003E247A">
              <w:rPr>
                <w:rFonts w:ascii="GHEA Grapalat" w:eastAsia="Times New Roman" w:hAnsi="GHEA Grapalat" w:cs="Calibri"/>
                <w:b/>
                <w:bCs/>
                <w:sz w:val="14"/>
                <w:szCs w:val="14"/>
              </w:rPr>
              <w:t>վազագույն գնային հավելումի չափը</w:t>
            </w:r>
          </w:p>
        </w:tc>
        <w:tc>
          <w:tcPr>
            <w:tcW w:w="1119"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 xml:space="preserve">Գույքի արժեքի որոշման համար նախատեսված գումարը </w:t>
            </w:r>
            <w:r w:rsidRPr="003E247A">
              <w:rPr>
                <w:rFonts w:ascii="GHEA Grapalat" w:eastAsia="Times New Roman" w:hAnsi="GHEA Grapalat" w:cs="Calibri"/>
                <w:b/>
                <w:bCs/>
                <w:sz w:val="14"/>
                <w:szCs w:val="14"/>
              </w:rPr>
              <w:br/>
              <w:t>/ՀՀ դրամ/</w:t>
            </w:r>
          </w:p>
        </w:tc>
      </w:tr>
      <w:tr w:rsidR="003E247A" w:rsidRPr="003E247A" w14:paraId="708D35C4" w14:textId="77777777" w:rsidTr="00127A6C">
        <w:trPr>
          <w:trHeight w:val="1682"/>
          <w:jc w:val="center"/>
        </w:trPr>
        <w:tc>
          <w:tcPr>
            <w:tcW w:w="630"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50"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885"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35" w:type="dxa"/>
            <w:shd w:val="clear" w:color="auto" w:fill="auto"/>
            <w:vAlign w:val="center"/>
          </w:tcPr>
          <w:p w14:paraId="70820B3C" w14:textId="77777777" w:rsidR="001D46B7" w:rsidRPr="001D46B7" w:rsidRDefault="001D46B7" w:rsidP="001D46B7">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ք</w:t>
            </w:r>
            <w:r w:rsidRPr="001D46B7">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1D46B7">
              <w:rPr>
                <w:rFonts w:ascii="Calibri" w:eastAsia="Times New Roman" w:hAnsi="Calibri" w:cs="Calibri"/>
                <w:sz w:val="14"/>
                <w:szCs w:val="14"/>
              </w:rPr>
              <w:t> </w:t>
            </w:r>
          </w:p>
          <w:p w14:paraId="682BD0C1" w14:textId="4E6C00F1" w:rsidR="001D46B7" w:rsidRPr="001D46B7" w:rsidRDefault="001D46B7"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1D46B7">
              <w:rPr>
                <w:rFonts w:ascii="GHEA Grapalat" w:eastAsia="Times New Roman" w:hAnsi="GHEA Grapalat" w:cs="Calibri"/>
                <w:sz w:val="14"/>
                <w:szCs w:val="14"/>
              </w:rPr>
              <w:t>01-003-0209-0019</w:t>
            </w:r>
            <w:r>
              <w:rPr>
                <w:rFonts w:ascii="GHEA Grapalat" w:eastAsia="Times New Roman" w:hAnsi="GHEA Grapalat" w:cs="Calibri"/>
                <w:sz w:val="14"/>
                <w:szCs w:val="14"/>
              </w:rPr>
              <w:t>)</w:t>
            </w:r>
          </w:p>
        </w:tc>
        <w:tc>
          <w:tcPr>
            <w:tcW w:w="915" w:type="dxa"/>
            <w:shd w:val="clear" w:color="auto" w:fill="auto"/>
            <w:vAlign w:val="center"/>
          </w:tcPr>
          <w:p w14:paraId="73F4763E" w14:textId="21B00367" w:rsidR="003E247A" w:rsidRPr="003E247A" w:rsidRDefault="00A13C58" w:rsidP="002F76E3">
            <w:pPr>
              <w:spacing w:after="0" w:line="240" w:lineRule="auto"/>
              <w:jc w:val="center"/>
              <w:rPr>
                <w:rFonts w:ascii="GHEA Grapalat" w:eastAsia="Times New Roman" w:hAnsi="GHEA Grapalat" w:cs="Calibri"/>
                <w:sz w:val="14"/>
                <w:szCs w:val="14"/>
              </w:rPr>
            </w:pPr>
            <w:r w:rsidRPr="00A13C58">
              <w:rPr>
                <w:rFonts w:ascii="GHEA Grapalat" w:eastAsia="Times New Roman" w:hAnsi="GHEA Grapalat" w:cs="Calibri"/>
                <w:sz w:val="14"/>
                <w:szCs w:val="14"/>
              </w:rPr>
              <w:t>3292.3</w:t>
            </w:r>
          </w:p>
        </w:tc>
        <w:tc>
          <w:tcPr>
            <w:tcW w:w="1695" w:type="dxa"/>
            <w:shd w:val="clear" w:color="auto" w:fill="auto"/>
            <w:vAlign w:val="center"/>
          </w:tcPr>
          <w:p w14:paraId="04692B94" w14:textId="66BBC6A1"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0.212944</w:t>
            </w:r>
          </w:p>
        </w:tc>
        <w:tc>
          <w:tcPr>
            <w:tcW w:w="1710" w:type="dxa"/>
            <w:vMerge w:val="restart"/>
            <w:shd w:val="clear" w:color="auto" w:fill="auto"/>
            <w:vAlign w:val="center"/>
          </w:tcPr>
          <w:p w14:paraId="51B97467" w14:textId="33836A2A"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1 847 300 000</w:t>
            </w:r>
          </w:p>
        </w:tc>
        <w:tc>
          <w:tcPr>
            <w:tcW w:w="1440" w:type="dxa"/>
            <w:vMerge w:val="restart"/>
            <w:vAlign w:val="center"/>
          </w:tcPr>
          <w:p w14:paraId="52B370A1" w14:textId="564432E8"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222 318 157</w:t>
            </w:r>
          </w:p>
        </w:tc>
        <w:tc>
          <w:tcPr>
            <w:tcW w:w="1260" w:type="dxa"/>
            <w:vMerge w:val="restart"/>
            <w:shd w:val="clear" w:color="auto" w:fill="auto"/>
            <w:vAlign w:val="center"/>
          </w:tcPr>
          <w:p w14:paraId="48F4A8D4" w14:textId="76187A25" w:rsidR="003E247A" w:rsidRPr="003E247A" w:rsidRDefault="00AD0A59" w:rsidP="003E247A">
            <w:pPr>
              <w:spacing w:after="0" w:line="240" w:lineRule="auto"/>
              <w:jc w:val="center"/>
              <w:rPr>
                <w:rFonts w:ascii="GHEA Grapalat" w:eastAsia="Times New Roman" w:hAnsi="GHEA Grapalat" w:cs="Calibri"/>
                <w:sz w:val="14"/>
                <w:szCs w:val="14"/>
              </w:rPr>
            </w:pPr>
            <w:r w:rsidRPr="00AD0A59">
              <w:rPr>
                <w:rFonts w:ascii="GHEA Grapalat" w:hAnsi="GHEA Grapalat"/>
                <w:color w:val="000000" w:themeColor="text1"/>
                <w:spacing w:val="-8"/>
                <w:sz w:val="14"/>
                <w:szCs w:val="14"/>
              </w:rPr>
              <w:t>1 847 300 000</w:t>
            </w:r>
          </w:p>
        </w:tc>
        <w:tc>
          <w:tcPr>
            <w:tcW w:w="1170" w:type="dxa"/>
            <w:vMerge w:val="restart"/>
            <w:shd w:val="clear" w:color="auto" w:fill="auto"/>
            <w:vAlign w:val="center"/>
          </w:tcPr>
          <w:p w14:paraId="6CFDACC6" w14:textId="1E361E9A"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92 365</w:t>
            </w:r>
            <w:r w:rsidR="003E247A" w:rsidRPr="003E247A">
              <w:rPr>
                <w:rFonts w:ascii="GHEA Grapalat" w:hAnsi="GHEA Grapalat"/>
                <w:color w:val="000000" w:themeColor="text1"/>
                <w:sz w:val="14"/>
                <w:szCs w:val="14"/>
                <w:lang w:val="hy-AM"/>
              </w:rPr>
              <w:t xml:space="preserve"> 000</w:t>
            </w:r>
          </w:p>
        </w:tc>
        <w:tc>
          <w:tcPr>
            <w:tcW w:w="1186" w:type="dxa"/>
            <w:vMerge w:val="restart"/>
            <w:vAlign w:val="center"/>
          </w:tcPr>
          <w:p w14:paraId="5ADA0703" w14:textId="46C29481"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18 473 000</w:t>
            </w:r>
            <w:r w:rsidR="003E247A" w:rsidRPr="003E247A">
              <w:rPr>
                <w:rFonts w:ascii="GHEA Grapalat" w:hAnsi="GHEA Grapalat"/>
                <w:color w:val="000000" w:themeColor="text1"/>
                <w:sz w:val="14"/>
                <w:szCs w:val="14"/>
                <w:lang w:val="hy-AM"/>
              </w:rPr>
              <w:t xml:space="preserve"> </w:t>
            </w:r>
          </w:p>
        </w:tc>
        <w:tc>
          <w:tcPr>
            <w:tcW w:w="1119" w:type="dxa"/>
            <w:vMerge w:val="restart"/>
            <w:shd w:val="clear" w:color="auto" w:fill="auto"/>
            <w:vAlign w:val="center"/>
          </w:tcPr>
          <w:p w14:paraId="794BEB42" w14:textId="693CBCA9" w:rsidR="003E247A" w:rsidRPr="00AD0A59" w:rsidRDefault="00AD0A59" w:rsidP="002F76E3">
            <w:pPr>
              <w:spacing w:after="0" w:line="240" w:lineRule="auto"/>
              <w:jc w:val="center"/>
              <w:rPr>
                <w:rFonts w:ascii="GHEA Grapalat" w:hAnsi="GHEA Grapalat"/>
                <w:color w:val="000000" w:themeColor="text1"/>
                <w:spacing w:val="-8"/>
                <w:sz w:val="14"/>
                <w:szCs w:val="14"/>
                <w:lang w:val="hy-AM"/>
              </w:rPr>
            </w:pPr>
            <w:r>
              <w:rPr>
                <w:rFonts w:ascii="GHEA Grapalat" w:hAnsi="GHEA Grapalat"/>
                <w:color w:val="000000" w:themeColor="text1"/>
                <w:spacing w:val="-8"/>
                <w:sz w:val="14"/>
                <w:szCs w:val="14"/>
                <w:lang w:val="hy-AM"/>
              </w:rPr>
              <w:t>1 387</w:t>
            </w:r>
            <w:r w:rsidR="00C60AAC">
              <w:rPr>
                <w:rFonts w:ascii="Calibri" w:hAnsi="Calibri" w:cs="Calibri"/>
                <w:color w:val="000000" w:themeColor="text1"/>
                <w:spacing w:val="-8"/>
                <w:sz w:val="14"/>
                <w:szCs w:val="14"/>
                <w:lang w:val="hy-AM"/>
              </w:rPr>
              <w:t> </w:t>
            </w:r>
            <w:r>
              <w:rPr>
                <w:rFonts w:ascii="GHEA Grapalat" w:hAnsi="GHEA Grapalat"/>
                <w:color w:val="000000" w:themeColor="text1"/>
                <w:spacing w:val="-8"/>
                <w:sz w:val="14"/>
                <w:szCs w:val="14"/>
                <w:lang w:val="hy-AM"/>
              </w:rPr>
              <w:t>379</w:t>
            </w:r>
            <w:r w:rsidR="00C60AAC">
              <w:rPr>
                <w:rFonts w:ascii="Cambria Math" w:hAnsi="Cambria Math" w:cs="Cambria Math"/>
                <w:color w:val="000000" w:themeColor="text1"/>
                <w:spacing w:val="-8"/>
                <w:sz w:val="14"/>
                <w:szCs w:val="14"/>
                <w:lang w:val="hy-AM"/>
              </w:rPr>
              <w:t>,</w:t>
            </w:r>
            <w:r w:rsidRPr="00AD0A59">
              <w:rPr>
                <w:rFonts w:ascii="GHEA Grapalat" w:hAnsi="GHEA Grapalat"/>
                <w:color w:val="000000" w:themeColor="text1"/>
                <w:spacing w:val="-8"/>
                <w:sz w:val="14"/>
                <w:szCs w:val="14"/>
                <w:lang w:val="hy-AM"/>
              </w:rPr>
              <w:t>46</w:t>
            </w:r>
          </w:p>
        </w:tc>
      </w:tr>
      <w:tr w:rsidR="003E247A" w:rsidRPr="003E247A" w14:paraId="00FAF59A" w14:textId="77777777" w:rsidTr="00127A6C">
        <w:trPr>
          <w:trHeight w:val="1700"/>
          <w:jc w:val="center"/>
        </w:trPr>
        <w:tc>
          <w:tcPr>
            <w:tcW w:w="630"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50"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885"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35" w:type="dxa"/>
            <w:shd w:val="clear" w:color="auto" w:fill="auto"/>
            <w:vAlign w:val="center"/>
            <w:hideMark/>
          </w:tcPr>
          <w:p w14:paraId="18F34EB3" w14:textId="77777777" w:rsidR="003E247A" w:rsidRPr="00BD1460" w:rsidRDefault="001D46B7" w:rsidP="001D46B7">
            <w:pPr>
              <w:spacing w:after="0" w:line="240" w:lineRule="auto"/>
              <w:jc w:val="center"/>
              <w:rPr>
                <w:rFonts w:ascii="GHEA Grapalat" w:eastAsia="Times New Roman" w:hAnsi="GHEA Grapalat" w:cs="Calibri"/>
                <w:sz w:val="14"/>
                <w:szCs w:val="14"/>
              </w:rPr>
            </w:pPr>
            <w:r w:rsidRPr="00BD1460">
              <w:rPr>
                <w:rFonts w:ascii="GHEA Grapalat" w:eastAsia="Times New Roman" w:hAnsi="GHEA Grapalat" w:cs="Calibri"/>
                <w:sz w:val="14"/>
                <w:szCs w:val="14"/>
              </w:rPr>
              <w:t>ք</w:t>
            </w:r>
            <w:r w:rsidRPr="00BD1460">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BD1460">
              <w:rPr>
                <w:rFonts w:ascii="GHEA Grapalat" w:eastAsia="Times New Roman" w:hAnsi="GHEA Grapalat" w:cs="Calibri"/>
                <w:sz w:val="14"/>
                <w:szCs w:val="14"/>
              </w:rPr>
              <w:t>/2</w:t>
            </w:r>
            <w:r w:rsidRPr="00BD1460">
              <w:rPr>
                <w:rFonts w:ascii="Calibri" w:eastAsia="Times New Roman" w:hAnsi="Calibri" w:cs="Calibri"/>
                <w:sz w:val="14"/>
                <w:szCs w:val="14"/>
              </w:rPr>
              <w:t> </w:t>
            </w:r>
          </w:p>
          <w:p w14:paraId="6670E3FE" w14:textId="21AD0C66" w:rsidR="00BD1460" w:rsidRPr="003E247A" w:rsidRDefault="00BD1460"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BD1460">
              <w:rPr>
                <w:rFonts w:ascii="GHEA Grapalat" w:eastAsia="Times New Roman" w:hAnsi="GHEA Grapalat" w:cs="Calibri"/>
                <w:sz w:val="14"/>
                <w:szCs w:val="14"/>
              </w:rPr>
              <w:t>01-003-0209-0119</w:t>
            </w:r>
            <w:r>
              <w:rPr>
                <w:rFonts w:ascii="GHEA Grapalat" w:eastAsia="Times New Roman" w:hAnsi="GHEA Grapalat" w:cs="Calibri"/>
                <w:sz w:val="14"/>
                <w:szCs w:val="14"/>
              </w:rPr>
              <w:t>)</w:t>
            </w:r>
          </w:p>
        </w:tc>
        <w:tc>
          <w:tcPr>
            <w:tcW w:w="915" w:type="dxa"/>
            <w:shd w:val="clear" w:color="auto" w:fill="auto"/>
            <w:vAlign w:val="center"/>
            <w:hideMark/>
          </w:tcPr>
          <w:p w14:paraId="13E77160" w14:textId="1DF24839" w:rsidR="003E247A" w:rsidRPr="003E247A" w:rsidRDefault="00A13C58" w:rsidP="002F76E3">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lang w:val="hy-AM"/>
              </w:rPr>
              <w:t>853</w:t>
            </w:r>
            <w:r w:rsidR="00BD1460">
              <w:rPr>
                <w:rFonts w:ascii="GHEA Grapalat" w:eastAsia="Times New Roman" w:hAnsi="GHEA Grapalat" w:cs="Calibri"/>
                <w:sz w:val="14"/>
                <w:szCs w:val="14"/>
              </w:rPr>
              <w:t>.</w:t>
            </w:r>
            <w:r>
              <w:rPr>
                <w:rFonts w:ascii="GHEA Grapalat" w:eastAsia="Times New Roman" w:hAnsi="GHEA Grapalat" w:cs="Calibri"/>
                <w:sz w:val="14"/>
                <w:szCs w:val="14"/>
                <w:lang w:val="hy-AM"/>
              </w:rPr>
              <w:t>6</w:t>
            </w:r>
            <w:r w:rsidR="003E247A" w:rsidRPr="003E247A">
              <w:rPr>
                <w:rFonts w:ascii="GHEA Grapalat" w:eastAsia="Times New Roman" w:hAnsi="GHEA Grapalat" w:cs="Calibri"/>
                <w:sz w:val="14"/>
                <w:szCs w:val="14"/>
              </w:rPr>
              <w:br/>
              <w:t xml:space="preserve"> </w:t>
            </w:r>
          </w:p>
        </w:tc>
        <w:tc>
          <w:tcPr>
            <w:tcW w:w="1695" w:type="dxa"/>
            <w:shd w:val="clear" w:color="auto" w:fill="auto"/>
            <w:vAlign w:val="center"/>
            <w:hideMark/>
          </w:tcPr>
          <w:p w14:paraId="30F52B25" w14:textId="1A6FE064"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0.164453</w:t>
            </w:r>
          </w:p>
        </w:tc>
        <w:tc>
          <w:tcPr>
            <w:tcW w:w="1710"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440" w:type="dxa"/>
            <w:vMerge/>
            <w:vAlign w:val="center"/>
          </w:tcPr>
          <w:p w14:paraId="03DC9E7A" w14:textId="290D2F9A" w:rsidR="003E247A" w:rsidRPr="003E247A" w:rsidRDefault="003E247A" w:rsidP="002F76E3">
            <w:pPr>
              <w:spacing w:after="0" w:line="240" w:lineRule="auto"/>
              <w:jc w:val="center"/>
              <w:rPr>
                <w:rFonts w:ascii="GHEA Grapalat" w:eastAsia="Times New Roman" w:hAnsi="GHEA Grapalat" w:cs="Calibri"/>
                <w:sz w:val="14"/>
                <w:szCs w:val="14"/>
              </w:rPr>
            </w:pPr>
          </w:p>
        </w:tc>
        <w:tc>
          <w:tcPr>
            <w:tcW w:w="1260"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70"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1186"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119"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127A6C">
        <w:trPr>
          <w:trHeight w:val="825"/>
          <w:jc w:val="center"/>
        </w:trPr>
        <w:tc>
          <w:tcPr>
            <w:tcW w:w="14095" w:type="dxa"/>
            <w:gridSpan w:val="12"/>
            <w:vAlign w:val="center"/>
          </w:tcPr>
          <w:p w14:paraId="3C87C41D" w14:textId="03861DB9" w:rsidR="00635DA5" w:rsidRPr="00635DA5" w:rsidRDefault="00C60AAC" w:rsidP="00C60AAC">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 xml:space="preserve">Բնութագիր՝ </w:t>
            </w:r>
            <w:r w:rsidR="00635DA5" w:rsidRPr="00635DA5">
              <w:rPr>
                <w:rFonts w:ascii="GHEA Grapalat" w:eastAsia="Times New Roman" w:hAnsi="GHEA Grapalat" w:cs="Calibri"/>
                <w:sz w:val="14"/>
                <w:szCs w:val="14"/>
              </w:rPr>
              <w:t xml:space="preserve">Կոմերցիոն տարածքի վաճառք </w:t>
            </w:r>
            <w:r w:rsidR="00BD1460" w:rsidRPr="001D46B7">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00635DA5" w:rsidRPr="00635DA5">
              <w:rPr>
                <w:rFonts w:ascii="GHEA Grapalat" w:eastAsia="Times New Roman" w:hAnsi="GHEA Grapalat" w:cs="Calibri"/>
                <w:sz w:val="14"/>
                <w:szCs w:val="14"/>
              </w:rPr>
              <w:t>, 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5A45AE7F" w14:textId="7FC14A3A" w:rsidR="00635DA5" w:rsidRPr="00635DA5" w:rsidRDefault="00635DA5" w:rsidP="00C60AAC">
            <w:pPr>
              <w:shd w:val="clear" w:color="auto" w:fill="FFFFFF"/>
              <w:spacing w:after="0" w:line="240" w:lineRule="auto"/>
              <w:jc w:val="center"/>
              <w:textAlignment w:val="center"/>
              <w:rPr>
                <w:rFonts w:ascii="GHEA Grapalat" w:eastAsia="Times New Roman" w:hAnsi="GHEA Grapalat" w:cs="Calibri"/>
                <w:sz w:val="14"/>
                <w:szCs w:val="14"/>
              </w:rPr>
            </w:pPr>
            <w:r w:rsidRPr="00635DA5">
              <w:rPr>
                <w:rFonts w:ascii="GHEA Grapalat" w:eastAsia="Times New Roman" w:hAnsi="GHEA Grapalat" w:cs="Calibri"/>
                <w:sz w:val="14"/>
                <w:szCs w:val="14"/>
              </w:rPr>
              <w:t>Կոմերցիոն տարածքի վաճառք</w:t>
            </w:r>
            <w:r>
              <w:rPr>
                <w:rFonts w:ascii="GHEA Grapalat" w:eastAsia="Times New Roman" w:hAnsi="GHEA Grapalat" w:cs="Calibri"/>
                <w:sz w:val="14"/>
                <w:szCs w:val="14"/>
                <w:lang w:val="hy-AM"/>
              </w:rPr>
              <w:t xml:space="preserve"> </w:t>
            </w:r>
            <w:r w:rsidR="00BD1460" w:rsidRPr="00BD1460">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00BD1460" w:rsidRPr="00BD1460">
              <w:rPr>
                <w:rFonts w:ascii="GHEA Grapalat" w:eastAsia="Times New Roman" w:hAnsi="GHEA Grapalat" w:cs="Calibri"/>
                <w:sz w:val="14"/>
                <w:szCs w:val="14"/>
              </w:rPr>
              <w:t>/2</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36ACB7A3" w14:textId="7019CB8E" w:rsidR="005A60C2" w:rsidRPr="003E247A" w:rsidRDefault="005A60C2" w:rsidP="00635DA5">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039C420D" w14:textId="75A1CC9E" w:rsidR="00BA256E" w:rsidRPr="00BA256E" w:rsidRDefault="002F76E3" w:rsidP="00BA256E">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BA256E">
        <w:rPr>
          <w:rFonts w:ascii="GHEA Grapalat" w:hAnsi="GHEA Grapalat"/>
          <w:b/>
          <w:bCs/>
          <w:i/>
          <w:iCs/>
          <w:sz w:val="16"/>
          <w:szCs w:val="16"/>
          <w:lang w:val="hy-AM"/>
        </w:rPr>
        <w:t xml:space="preserve"> </w:t>
      </w:r>
      <w:r w:rsidR="00BA256E" w:rsidRPr="00BA256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C9E9509" w14:textId="77777777" w:rsidR="00BA256E" w:rsidRPr="00BA256E" w:rsidRDefault="00BA256E" w:rsidP="00BA256E">
      <w:pPr>
        <w:jc w:val="both"/>
        <w:rPr>
          <w:rFonts w:ascii="GHEA Grapalat" w:hAnsi="GHEA Grapalat"/>
          <w:b/>
          <w:bCs/>
          <w:i/>
          <w:iCs/>
          <w:sz w:val="16"/>
          <w:szCs w:val="16"/>
          <w:lang w:val="hy-AM"/>
        </w:rPr>
      </w:pPr>
      <w:r w:rsidRPr="00BA256E">
        <w:rPr>
          <w:rFonts w:ascii="GHEA Grapalat" w:hAnsi="GHEA Grapalat"/>
          <w:b/>
          <w:bCs/>
          <w:i/>
          <w:iCs/>
          <w:sz w:val="16"/>
          <w:szCs w:val="16"/>
          <w:lang w:val="hy-AM"/>
        </w:rPr>
        <w:t>* էլեկտրոնային աճուրդի ավարտի հաշվարկային ժամ</w:t>
      </w:r>
      <w:r w:rsidRPr="00BA256E">
        <w:rPr>
          <w:rFonts w:ascii="Calibri" w:hAnsi="Calibri" w:cs="Calibri"/>
          <w:b/>
          <w:bCs/>
          <w:i/>
          <w:iCs/>
          <w:sz w:val="16"/>
          <w:szCs w:val="16"/>
          <w:lang w:val="hy-AM"/>
        </w:rPr>
        <w:t> </w:t>
      </w:r>
      <w:r w:rsidRPr="00BA256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BA256E"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D7D3DBC" w:rsidR="002F76E3" w:rsidRPr="00C60AAC"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w:t>
      </w:r>
      <w:r w:rsidRPr="00C60AAC">
        <w:rPr>
          <w:rFonts w:ascii="GHEA Grapalat" w:hAnsi="GHEA Grapalat"/>
          <w:b/>
          <w:bCs/>
          <w:i/>
          <w:iCs/>
          <w:sz w:val="16"/>
          <w:szCs w:val="16"/>
          <w:lang w:val="hy-AM"/>
        </w:rPr>
        <w:t>թվականի սեպտեմբերի 28-ի N1667-Ն  և</w:t>
      </w:r>
      <w:r w:rsidRPr="002F76E3">
        <w:rPr>
          <w:rFonts w:ascii="GHEA Grapalat" w:hAnsi="GHEA Grapalat"/>
          <w:b/>
          <w:bCs/>
          <w:i/>
          <w:iCs/>
          <w:sz w:val="16"/>
          <w:szCs w:val="16"/>
          <w:lang w:val="hy-AM"/>
        </w:rPr>
        <w:t xml:space="preserve"> 2024թ</w:t>
      </w:r>
      <w:r w:rsidR="00C60AAC" w:rsidRPr="00C60AAC">
        <w:rPr>
          <w:rFonts w:ascii="MS Mincho" w:eastAsia="MS Mincho" w:hAnsi="MS Mincho" w:cs="MS Mincho" w:hint="eastAsia"/>
          <w:b/>
          <w:bCs/>
          <w:i/>
          <w:iCs/>
          <w:sz w:val="16"/>
          <w:szCs w:val="16"/>
          <w:lang w:val="hy-AM"/>
        </w:rPr>
        <w:t>․</w:t>
      </w:r>
      <w:r w:rsidR="00C60AAC" w:rsidRPr="00C60AAC">
        <w:rPr>
          <w:rFonts w:ascii="GHEA Grapalat" w:hAnsi="GHEA Grapalat"/>
          <w:b/>
          <w:bCs/>
          <w:i/>
          <w:iCs/>
          <w:sz w:val="16"/>
          <w:szCs w:val="16"/>
          <w:lang w:val="hy-AM"/>
        </w:rPr>
        <w:t xml:space="preserve"> հոկտեմբերի 31-ի թիվ 1721-Ա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22D5944A"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27A6C"/>
    <w:rsid w:val="00151B84"/>
    <w:rsid w:val="00173AF7"/>
    <w:rsid w:val="001B5403"/>
    <w:rsid w:val="001B58DB"/>
    <w:rsid w:val="001D46B7"/>
    <w:rsid w:val="0024131A"/>
    <w:rsid w:val="002F76E3"/>
    <w:rsid w:val="003468F8"/>
    <w:rsid w:val="00361CF7"/>
    <w:rsid w:val="003D65FE"/>
    <w:rsid w:val="003E247A"/>
    <w:rsid w:val="00406594"/>
    <w:rsid w:val="00444DE0"/>
    <w:rsid w:val="00495BEA"/>
    <w:rsid w:val="004C3173"/>
    <w:rsid w:val="005A23B5"/>
    <w:rsid w:val="005A60C2"/>
    <w:rsid w:val="005F668E"/>
    <w:rsid w:val="00635DA5"/>
    <w:rsid w:val="0069729F"/>
    <w:rsid w:val="00736900"/>
    <w:rsid w:val="00884815"/>
    <w:rsid w:val="0090303A"/>
    <w:rsid w:val="00925F1C"/>
    <w:rsid w:val="00A13C58"/>
    <w:rsid w:val="00A53AF7"/>
    <w:rsid w:val="00AA133E"/>
    <w:rsid w:val="00AD0A59"/>
    <w:rsid w:val="00B26F6F"/>
    <w:rsid w:val="00B76F6E"/>
    <w:rsid w:val="00B846C0"/>
    <w:rsid w:val="00BA256E"/>
    <w:rsid w:val="00BD1460"/>
    <w:rsid w:val="00BF0B4B"/>
    <w:rsid w:val="00C60AAC"/>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1441</Words>
  <Characters>8214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2024-11-14T10:27:00Z</dcterms:created>
  <dcterms:modified xsi:type="dcterms:W3CDTF">2025-03-31T08:19:00Z</dcterms:modified>
</cp:coreProperties>
</file>